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6971" w14:textId="77777777" w:rsidR="00BC7EAF" w:rsidRDefault="00C8434D">
      <w:pPr>
        <w:spacing w:before="61"/>
        <w:ind w:left="1177" w:right="1312"/>
        <w:jc w:val="center"/>
        <w:rPr>
          <w:i/>
          <w:sz w:val="24"/>
        </w:rPr>
      </w:pPr>
      <w:bookmarkStart w:id="0" w:name="ROYAL_BOTANIC_GARDEN_EDINBURGH_BOARD_OF_"/>
      <w:bookmarkEnd w:id="0"/>
      <w:r>
        <w:rPr>
          <w:i/>
          <w:sz w:val="24"/>
        </w:rPr>
        <w:t>ROYAL BOTANIC GARDEN EDINBURGH BOARD OF TRUSTEES</w:t>
      </w:r>
    </w:p>
    <w:p w14:paraId="3849BCBD" w14:textId="77777777" w:rsidR="00BC7EAF" w:rsidRDefault="00BC7EAF">
      <w:pPr>
        <w:pStyle w:val="BodyText"/>
        <w:spacing w:before="5"/>
        <w:rPr>
          <w:i/>
        </w:rPr>
      </w:pPr>
    </w:p>
    <w:p w14:paraId="7FDA6A56" w14:textId="77777777" w:rsidR="00BC7EAF" w:rsidRDefault="00C8434D">
      <w:pPr>
        <w:pStyle w:val="Heading1"/>
        <w:spacing w:before="0"/>
        <w:ind w:left="1521" w:right="1312"/>
        <w:jc w:val="center"/>
        <w:rPr>
          <w:u w:val="none"/>
        </w:rPr>
      </w:pPr>
      <w:bookmarkStart w:id="1" w:name="Minutes_of_the_Meeting_of_the_Board_of_T"/>
      <w:bookmarkEnd w:id="1"/>
      <w:r>
        <w:rPr>
          <w:u w:val="thick"/>
        </w:rPr>
        <w:t>Minutes of the Meeting of the Board of Trustees</w:t>
      </w:r>
    </w:p>
    <w:p w14:paraId="792E509C" w14:textId="77777777" w:rsidR="00BC7EAF" w:rsidRDefault="00C8434D">
      <w:pPr>
        <w:ind w:left="1549" w:right="1312"/>
        <w:jc w:val="center"/>
        <w:rPr>
          <w:b/>
          <w:sz w:val="24"/>
        </w:rPr>
      </w:pPr>
      <w:r>
        <w:rPr>
          <w:b/>
          <w:sz w:val="24"/>
          <w:u w:val="thick"/>
        </w:rPr>
        <w:t>held in the Botanic Cottage, Royal Botanic Garden Edinburgh (RBGE)</w:t>
      </w:r>
      <w:r>
        <w:rPr>
          <w:b/>
          <w:sz w:val="24"/>
        </w:rPr>
        <w:t xml:space="preserve"> </w:t>
      </w:r>
      <w:r>
        <w:rPr>
          <w:b/>
          <w:sz w:val="24"/>
          <w:u w:val="thick"/>
        </w:rPr>
        <w:t>on Wednesday 5 October 2016 at 1345</w:t>
      </w:r>
    </w:p>
    <w:p w14:paraId="00D77C1E" w14:textId="77777777" w:rsidR="00BC7EAF" w:rsidRDefault="00BC7EAF">
      <w:pPr>
        <w:pStyle w:val="BodyText"/>
        <w:rPr>
          <w:b/>
          <w:sz w:val="20"/>
        </w:rPr>
      </w:pPr>
    </w:p>
    <w:p w14:paraId="65C13FB9" w14:textId="77777777" w:rsidR="00BC7EAF" w:rsidRDefault="00BC7EAF">
      <w:pPr>
        <w:pStyle w:val="BodyText"/>
        <w:spacing w:before="5" w:after="1"/>
        <w:rPr>
          <w:b/>
          <w:sz w:val="28"/>
        </w:rPr>
      </w:pPr>
    </w:p>
    <w:tbl>
      <w:tblPr>
        <w:tblW w:w="0" w:type="auto"/>
        <w:tblInd w:w="191" w:type="dxa"/>
        <w:tblLayout w:type="fixed"/>
        <w:tblCellMar>
          <w:left w:w="0" w:type="dxa"/>
          <w:right w:w="0" w:type="dxa"/>
        </w:tblCellMar>
        <w:tblLook w:val="01E0" w:firstRow="1" w:lastRow="1" w:firstColumn="1" w:lastColumn="1" w:noHBand="0" w:noVBand="0"/>
      </w:tblPr>
      <w:tblGrid>
        <w:gridCol w:w="1795"/>
        <w:gridCol w:w="2833"/>
        <w:gridCol w:w="4667"/>
      </w:tblGrid>
      <w:tr w:rsidR="00BC7EAF" w14:paraId="151B9F33" w14:textId="77777777">
        <w:trPr>
          <w:trHeight w:val="2340"/>
        </w:trPr>
        <w:tc>
          <w:tcPr>
            <w:tcW w:w="1795" w:type="dxa"/>
          </w:tcPr>
          <w:p w14:paraId="41B67838" w14:textId="77777777" w:rsidR="00BC7EAF" w:rsidRDefault="00C8434D">
            <w:pPr>
              <w:pStyle w:val="TableParagraph"/>
              <w:spacing w:line="266" w:lineRule="exact"/>
              <w:ind w:left="50"/>
              <w:rPr>
                <w:b/>
                <w:sz w:val="24"/>
              </w:rPr>
            </w:pPr>
            <w:r>
              <w:rPr>
                <w:b/>
                <w:sz w:val="24"/>
              </w:rPr>
              <w:t>Present:</w:t>
            </w:r>
          </w:p>
        </w:tc>
        <w:tc>
          <w:tcPr>
            <w:tcW w:w="2833" w:type="dxa"/>
          </w:tcPr>
          <w:p w14:paraId="102EE3BF" w14:textId="77777777" w:rsidR="00BC7EAF" w:rsidRDefault="00C8434D">
            <w:pPr>
              <w:pStyle w:val="TableParagraph"/>
              <w:spacing w:line="266" w:lineRule="exact"/>
              <w:ind w:left="179"/>
              <w:rPr>
                <w:sz w:val="24"/>
              </w:rPr>
            </w:pPr>
            <w:r>
              <w:rPr>
                <w:sz w:val="24"/>
              </w:rPr>
              <w:t>Sir Muir Russell</w:t>
            </w:r>
          </w:p>
          <w:p w14:paraId="71E3E356" w14:textId="77777777" w:rsidR="00BC7EAF" w:rsidRDefault="00C8434D">
            <w:pPr>
              <w:pStyle w:val="TableParagraph"/>
              <w:ind w:left="179" w:right="474"/>
              <w:rPr>
                <w:sz w:val="24"/>
              </w:rPr>
            </w:pPr>
            <w:r>
              <w:rPr>
                <w:sz w:val="24"/>
              </w:rPr>
              <w:t>Prof Beverley Glover Mrs Patricia Henton Prof Thomas Meagher Ms Diana Murray</w:t>
            </w:r>
          </w:p>
          <w:p w14:paraId="4E9548FC" w14:textId="77777777" w:rsidR="00BC7EAF" w:rsidRDefault="00C8434D">
            <w:pPr>
              <w:pStyle w:val="TableParagraph"/>
              <w:ind w:left="179" w:right="887"/>
              <w:rPr>
                <w:sz w:val="24"/>
              </w:rPr>
            </w:pPr>
            <w:r>
              <w:rPr>
                <w:sz w:val="24"/>
              </w:rPr>
              <w:t>Mr Tim Rollinson Prof Ian Wall</w:t>
            </w:r>
          </w:p>
          <w:p w14:paraId="501DD75E" w14:textId="77777777" w:rsidR="00BC7EAF" w:rsidRDefault="00C8434D">
            <w:pPr>
              <w:pStyle w:val="TableParagraph"/>
              <w:ind w:left="179"/>
              <w:rPr>
                <w:sz w:val="24"/>
              </w:rPr>
            </w:pPr>
            <w:r>
              <w:rPr>
                <w:sz w:val="24"/>
              </w:rPr>
              <w:t>Mr Chris Wallace</w:t>
            </w:r>
          </w:p>
        </w:tc>
        <w:tc>
          <w:tcPr>
            <w:tcW w:w="4667" w:type="dxa"/>
          </w:tcPr>
          <w:p w14:paraId="23DC199A" w14:textId="77777777" w:rsidR="00BC7EAF" w:rsidRDefault="00C8434D">
            <w:pPr>
              <w:pStyle w:val="TableParagraph"/>
              <w:ind w:left="322" w:right="2264"/>
              <w:jc w:val="both"/>
              <w:rPr>
                <w:sz w:val="24"/>
              </w:rPr>
            </w:pPr>
            <w:r>
              <w:rPr>
                <w:sz w:val="24"/>
              </w:rPr>
              <w:t xml:space="preserve">Chairman of </w:t>
            </w:r>
            <w:r>
              <w:rPr>
                <w:spacing w:val="-3"/>
                <w:sz w:val="24"/>
              </w:rPr>
              <w:t xml:space="preserve">Trustees </w:t>
            </w:r>
            <w:r>
              <w:rPr>
                <w:sz w:val="24"/>
              </w:rPr>
              <w:t>Trustee</w:t>
            </w:r>
          </w:p>
          <w:p w14:paraId="4DCEE45D" w14:textId="77777777" w:rsidR="00BC7EAF" w:rsidRDefault="00C8434D">
            <w:pPr>
              <w:pStyle w:val="TableParagraph"/>
              <w:ind w:left="322" w:right="3624"/>
              <w:jc w:val="both"/>
              <w:rPr>
                <w:sz w:val="24"/>
              </w:rPr>
            </w:pPr>
            <w:r>
              <w:rPr>
                <w:spacing w:val="-1"/>
                <w:sz w:val="24"/>
              </w:rPr>
              <w:t xml:space="preserve">Trustee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p>
        </w:tc>
      </w:tr>
      <w:tr w:rsidR="00BC7EAF" w14:paraId="286B471C" w14:textId="77777777">
        <w:trPr>
          <w:trHeight w:val="1236"/>
        </w:trPr>
        <w:tc>
          <w:tcPr>
            <w:tcW w:w="1795" w:type="dxa"/>
          </w:tcPr>
          <w:p w14:paraId="5FB73214" w14:textId="77777777" w:rsidR="00BC7EAF" w:rsidRDefault="00C8434D">
            <w:pPr>
              <w:pStyle w:val="TableParagraph"/>
              <w:spacing w:before="133"/>
              <w:ind w:left="76"/>
              <w:rPr>
                <w:b/>
                <w:sz w:val="24"/>
              </w:rPr>
            </w:pPr>
            <w:r>
              <w:rPr>
                <w:b/>
                <w:sz w:val="24"/>
              </w:rPr>
              <w:t>In Attendance:</w:t>
            </w:r>
          </w:p>
        </w:tc>
        <w:tc>
          <w:tcPr>
            <w:tcW w:w="2833" w:type="dxa"/>
          </w:tcPr>
          <w:p w14:paraId="12091F35" w14:textId="77777777" w:rsidR="00BC7EAF" w:rsidRDefault="00C8434D">
            <w:pPr>
              <w:pStyle w:val="TableParagraph"/>
              <w:spacing w:before="133"/>
              <w:ind w:left="179"/>
              <w:rPr>
                <w:sz w:val="24"/>
              </w:rPr>
            </w:pPr>
            <w:r>
              <w:rPr>
                <w:sz w:val="24"/>
              </w:rPr>
              <w:t>Mr Simon Milne</w:t>
            </w:r>
          </w:p>
          <w:p w14:paraId="02FEE3FD" w14:textId="77777777" w:rsidR="00BC7EAF" w:rsidRDefault="00C8434D">
            <w:pPr>
              <w:pStyle w:val="TableParagraph"/>
              <w:spacing w:line="270" w:lineRule="atLeast"/>
              <w:ind w:left="179" w:right="320"/>
              <w:rPr>
                <w:sz w:val="24"/>
              </w:rPr>
            </w:pPr>
            <w:r>
              <w:rPr>
                <w:sz w:val="24"/>
              </w:rPr>
              <w:t>Prof Pete</w:t>
            </w:r>
            <w:r>
              <w:rPr>
                <w:spacing w:val="-10"/>
                <w:sz w:val="24"/>
              </w:rPr>
              <w:t xml:space="preserve"> </w:t>
            </w:r>
            <w:r>
              <w:rPr>
                <w:sz w:val="24"/>
              </w:rPr>
              <w:t>Hollingsworth Mrs Heather Jackson Dr Alasdair</w:t>
            </w:r>
            <w:r>
              <w:rPr>
                <w:spacing w:val="-4"/>
                <w:sz w:val="24"/>
              </w:rPr>
              <w:t xml:space="preserve"> </w:t>
            </w:r>
            <w:r>
              <w:rPr>
                <w:sz w:val="24"/>
              </w:rPr>
              <w:t>Macnab</w:t>
            </w:r>
          </w:p>
        </w:tc>
        <w:tc>
          <w:tcPr>
            <w:tcW w:w="4667" w:type="dxa"/>
          </w:tcPr>
          <w:p w14:paraId="077D0913" w14:textId="77777777" w:rsidR="00BC7EAF" w:rsidRDefault="00C8434D">
            <w:pPr>
              <w:pStyle w:val="TableParagraph"/>
              <w:spacing w:before="133"/>
              <w:ind w:left="322" w:right="2219"/>
              <w:rPr>
                <w:sz w:val="24"/>
              </w:rPr>
            </w:pPr>
            <w:r>
              <w:rPr>
                <w:sz w:val="24"/>
              </w:rPr>
              <w:t>Regius Keeper Director of Science Director of Enterprise</w:t>
            </w:r>
          </w:p>
          <w:p w14:paraId="62D1DF2A" w14:textId="77777777" w:rsidR="00BC7EAF" w:rsidRDefault="00C8434D">
            <w:pPr>
              <w:pStyle w:val="TableParagraph"/>
              <w:tabs>
                <w:tab w:val="left" w:pos="3706"/>
              </w:tabs>
              <w:spacing w:line="256" w:lineRule="exact"/>
              <w:ind w:left="322"/>
              <w:rPr>
                <w:sz w:val="24"/>
              </w:rPr>
            </w:pPr>
            <w:r>
              <w:rPr>
                <w:sz w:val="24"/>
              </w:rPr>
              <w:t>Director of</w:t>
            </w:r>
            <w:r>
              <w:rPr>
                <w:spacing w:val="-5"/>
                <w:sz w:val="24"/>
              </w:rPr>
              <w:t xml:space="preserve"> </w:t>
            </w:r>
            <w:r>
              <w:rPr>
                <w:sz w:val="24"/>
              </w:rPr>
              <w:t>Corporate</w:t>
            </w:r>
            <w:r>
              <w:rPr>
                <w:spacing w:val="-2"/>
                <w:sz w:val="24"/>
              </w:rPr>
              <w:t xml:space="preserve"> </w:t>
            </w:r>
            <w:r>
              <w:rPr>
                <w:sz w:val="24"/>
              </w:rPr>
              <w:t>Services</w:t>
            </w:r>
            <w:r>
              <w:rPr>
                <w:sz w:val="24"/>
              </w:rPr>
              <w:tab/>
              <w:t>Secretary</w:t>
            </w:r>
          </w:p>
        </w:tc>
      </w:tr>
    </w:tbl>
    <w:p w14:paraId="3693C734" w14:textId="77777777" w:rsidR="00BC7EAF" w:rsidRDefault="00C8434D">
      <w:pPr>
        <w:pStyle w:val="BodyText"/>
        <w:tabs>
          <w:tab w:val="left" w:pos="5135"/>
        </w:tabs>
        <w:ind w:left="2159"/>
      </w:pPr>
      <w:r>
        <w:t>Mr</w:t>
      </w:r>
      <w:r>
        <w:rPr>
          <w:spacing w:val="-2"/>
        </w:rPr>
        <w:t xml:space="preserve"> </w:t>
      </w:r>
      <w:r>
        <w:t>Kevin</w:t>
      </w:r>
      <w:r>
        <w:rPr>
          <w:spacing w:val="-1"/>
        </w:rPr>
        <w:t xml:space="preserve"> </w:t>
      </w:r>
      <w:r>
        <w:t>Reid</w:t>
      </w:r>
      <w:r>
        <w:tab/>
        <w:t>Director of Horticulture and</w:t>
      </w:r>
      <w:r>
        <w:rPr>
          <w:spacing w:val="1"/>
        </w:rPr>
        <w:t xml:space="preserve"> </w:t>
      </w:r>
      <w:r>
        <w:t>Learning</w:t>
      </w:r>
    </w:p>
    <w:p w14:paraId="5E4DDB0C" w14:textId="77777777" w:rsidR="00BC7EAF" w:rsidRDefault="00C8434D">
      <w:pPr>
        <w:pStyle w:val="BodyText"/>
        <w:tabs>
          <w:tab w:val="left" w:pos="5135"/>
        </w:tabs>
        <w:ind w:left="2159"/>
      </w:pPr>
      <w:r>
        <w:t>Ms</w:t>
      </w:r>
      <w:r>
        <w:rPr>
          <w:spacing w:val="-1"/>
        </w:rPr>
        <w:t xml:space="preserve"> </w:t>
      </w:r>
      <w:r>
        <w:t>Ann</w:t>
      </w:r>
      <w:r>
        <w:rPr>
          <w:spacing w:val="-1"/>
        </w:rPr>
        <w:t xml:space="preserve"> </w:t>
      </w:r>
      <w:r>
        <w:t>Robertson</w:t>
      </w:r>
      <w:r>
        <w:tab/>
        <w:t>Head of</w:t>
      </w:r>
      <w:r>
        <w:rPr>
          <w:spacing w:val="1"/>
        </w:rPr>
        <w:t xml:space="preserve"> </w:t>
      </w:r>
      <w:r>
        <w:t>Finance</w:t>
      </w:r>
    </w:p>
    <w:p w14:paraId="6BD94E4C" w14:textId="77777777" w:rsidR="00BC7EAF" w:rsidRDefault="00BC7EAF">
      <w:pPr>
        <w:pStyle w:val="BodyText"/>
        <w:rPr>
          <w:sz w:val="20"/>
        </w:rPr>
      </w:pPr>
    </w:p>
    <w:p w14:paraId="0A9DABE1" w14:textId="77777777" w:rsidR="00BC7EAF" w:rsidRDefault="00BC7EAF">
      <w:pPr>
        <w:pStyle w:val="BodyText"/>
        <w:spacing w:before="10"/>
        <w:rPr>
          <w:sz w:val="28"/>
        </w:rPr>
      </w:pPr>
    </w:p>
    <w:tbl>
      <w:tblPr>
        <w:tblW w:w="0" w:type="auto"/>
        <w:tblInd w:w="123" w:type="dxa"/>
        <w:tblLayout w:type="fixed"/>
        <w:tblCellMar>
          <w:left w:w="0" w:type="dxa"/>
          <w:right w:w="0" w:type="dxa"/>
        </w:tblCellMar>
        <w:tblLook w:val="01E0" w:firstRow="1" w:lastRow="1" w:firstColumn="1" w:lastColumn="1" w:noHBand="0" w:noVBand="0"/>
      </w:tblPr>
      <w:tblGrid>
        <w:gridCol w:w="881"/>
        <w:gridCol w:w="7713"/>
        <w:gridCol w:w="1317"/>
      </w:tblGrid>
      <w:tr w:rsidR="00BC7EAF" w14:paraId="154B8715" w14:textId="77777777">
        <w:trPr>
          <w:trHeight w:val="411"/>
        </w:trPr>
        <w:tc>
          <w:tcPr>
            <w:tcW w:w="881" w:type="dxa"/>
          </w:tcPr>
          <w:p w14:paraId="5DD78A5D" w14:textId="77777777" w:rsidR="00BC7EAF" w:rsidRDefault="00C8434D">
            <w:pPr>
              <w:pStyle w:val="TableParagraph"/>
              <w:spacing w:line="266" w:lineRule="exact"/>
              <w:ind w:left="200"/>
              <w:rPr>
                <w:sz w:val="24"/>
              </w:rPr>
            </w:pPr>
            <w:r>
              <w:rPr>
                <w:sz w:val="24"/>
                <w:u w:val="single"/>
              </w:rPr>
              <w:t>Item</w:t>
            </w:r>
          </w:p>
        </w:tc>
        <w:tc>
          <w:tcPr>
            <w:tcW w:w="7713" w:type="dxa"/>
          </w:tcPr>
          <w:p w14:paraId="30E3F165" w14:textId="77777777" w:rsidR="00BC7EAF" w:rsidRDefault="00C8434D">
            <w:pPr>
              <w:pStyle w:val="TableParagraph"/>
              <w:spacing w:line="266" w:lineRule="exact"/>
              <w:ind w:left="245"/>
              <w:rPr>
                <w:sz w:val="24"/>
              </w:rPr>
            </w:pPr>
            <w:r>
              <w:rPr>
                <w:sz w:val="24"/>
                <w:u w:val="single"/>
              </w:rPr>
              <w:t>Narrative &amp; Decisions</w:t>
            </w:r>
          </w:p>
        </w:tc>
        <w:tc>
          <w:tcPr>
            <w:tcW w:w="1317" w:type="dxa"/>
          </w:tcPr>
          <w:p w14:paraId="33B080D7" w14:textId="77777777" w:rsidR="00BC7EAF" w:rsidRDefault="00C8434D">
            <w:pPr>
              <w:pStyle w:val="TableParagraph"/>
              <w:spacing w:line="266" w:lineRule="exact"/>
              <w:ind w:left="185" w:right="180"/>
              <w:jc w:val="center"/>
              <w:rPr>
                <w:sz w:val="24"/>
              </w:rPr>
            </w:pPr>
            <w:r>
              <w:rPr>
                <w:sz w:val="24"/>
                <w:u w:val="single"/>
              </w:rPr>
              <w:t>Action</w:t>
            </w:r>
          </w:p>
        </w:tc>
      </w:tr>
      <w:tr w:rsidR="00BC7EAF" w14:paraId="6D70693D" w14:textId="77777777">
        <w:trPr>
          <w:trHeight w:val="2760"/>
        </w:trPr>
        <w:tc>
          <w:tcPr>
            <w:tcW w:w="881" w:type="dxa"/>
          </w:tcPr>
          <w:p w14:paraId="0D89F557" w14:textId="77777777" w:rsidR="00BC7EAF" w:rsidRDefault="00BC7EAF">
            <w:pPr>
              <w:pStyle w:val="TableParagraph"/>
            </w:pPr>
          </w:p>
        </w:tc>
        <w:tc>
          <w:tcPr>
            <w:tcW w:w="7713" w:type="dxa"/>
          </w:tcPr>
          <w:p w14:paraId="0095D3BD" w14:textId="77777777" w:rsidR="00BC7EAF" w:rsidRDefault="00C8434D">
            <w:pPr>
              <w:pStyle w:val="TableParagraph"/>
              <w:spacing w:before="135"/>
              <w:ind w:left="245"/>
              <w:rPr>
                <w:b/>
                <w:sz w:val="24"/>
              </w:rPr>
            </w:pPr>
            <w:r>
              <w:rPr>
                <w:b/>
                <w:sz w:val="24"/>
                <w:u w:val="thick"/>
              </w:rPr>
              <w:t>Visit to Nursery Glasshouses</w:t>
            </w:r>
          </w:p>
          <w:p w14:paraId="0EE8B7EE" w14:textId="77777777" w:rsidR="00BC7EAF" w:rsidRDefault="00BC7EAF">
            <w:pPr>
              <w:pStyle w:val="TableParagraph"/>
              <w:spacing w:before="7"/>
              <w:rPr>
                <w:sz w:val="23"/>
              </w:rPr>
            </w:pPr>
          </w:p>
          <w:p w14:paraId="10E4D6C5" w14:textId="77777777" w:rsidR="00BC7EAF" w:rsidRDefault="00C8434D">
            <w:pPr>
              <w:pStyle w:val="TableParagraph"/>
              <w:ind w:left="245" w:right="243"/>
              <w:rPr>
                <w:sz w:val="24"/>
              </w:rPr>
            </w:pPr>
            <w:r>
              <w:rPr>
                <w:sz w:val="24"/>
              </w:rPr>
              <w:t>Prior to the meeting the Board of Trustees visited the new Glasshouses in the Nursery as previously requested.</w:t>
            </w:r>
          </w:p>
          <w:p w14:paraId="360FF01D" w14:textId="77777777" w:rsidR="00BC7EAF" w:rsidRDefault="00BC7EAF">
            <w:pPr>
              <w:pStyle w:val="TableParagraph"/>
              <w:spacing w:before="4"/>
              <w:rPr>
                <w:sz w:val="24"/>
              </w:rPr>
            </w:pPr>
          </w:p>
          <w:p w14:paraId="1C7B4EA2" w14:textId="77777777" w:rsidR="00BC7EAF" w:rsidRDefault="00C8434D">
            <w:pPr>
              <w:pStyle w:val="TableParagraph"/>
              <w:spacing w:before="1"/>
              <w:ind w:left="245"/>
              <w:rPr>
                <w:b/>
                <w:sz w:val="24"/>
              </w:rPr>
            </w:pPr>
            <w:r>
              <w:rPr>
                <w:b/>
                <w:sz w:val="24"/>
                <w:u w:val="thick"/>
              </w:rPr>
              <w:t>Private Meeting</w:t>
            </w:r>
          </w:p>
          <w:p w14:paraId="41846096" w14:textId="77777777" w:rsidR="00BC7EAF" w:rsidRDefault="00BC7EAF">
            <w:pPr>
              <w:pStyle w:val="TableParagraph"/>
              <w:spacing w:before="6"/>
              <w:rPr>
                <w:sz w:val="23"/>
              </w:rPr>
            </w:pPr>
          </w:p>
          <w:p w14:paraId="0E7A3C21" w14:textId="77777777" w:rsidR="00BC7EAF" w:rsidRDefault="00C8434D">
            <w:pPr>
              <w:pStyle w:val="TableParagraph"/>
              <w:ind w:left="245" w:right="243"/>
              <w:rPr>
                <w:sz w:val="24"/>
              </w:rPr>
            </w:pPr>
            <w:r>
              <w:rPr>
                <w:sz w:val="24"/>
              </w:rPr>
              <w:t>The Chairman and the Board of Trustees held a Private Meeting prior to the Main Board</w:t>
            </w:r>
            <w:r>
              <w:rPr>
                <w:spacing w:val="-2"/>
                <w:sz w:val="24"/>
              </w:rPr>
              <w:t xml:space="preserve"> </w:t>
            </w:r>
            <w:r>
              <w:rPr>
                <w:sz w:val="24"/>
              </w:rPr>
              <w:t>meeting.</w:t>
            </w:r>
          </w:p>
        </w:tc>
        <w:tc>
          <w:tcPr>
            <w:tcW w:w="1317" w:type="dxa"/>
          </w:tcPr>
          <w:p w14:paraId="0261651B" w14:textId="77777777" w:rsidR="00BC7EAF" w:rsidRDefault="00BC7EAF">
            <w:pPr>
              <w:pStyle w:val="TableParagraph"/>
            </w:pPr>
          </w:p>
        </w:tc>
      </w:tr>
      <w:tr w:rsidR="00BC7EAF" w14:paraId="7995AB15" w14:textId="77777777">
        <w:trPr>
          <w:trHeight w:val="554"/>
        </w:trPr>
        <w:tc>
          <w:tcPr>
            <w:tcW w:w="881" w:type="dxa"/>
          </w:tcPr>
          <w:p w14:paraId="0C823E5B" w14:textId="77777777" w:rsidR="00BC7EAF" w:rsidRDefault="00BC7EAF">
            <w:pPr>
              <w:pStyle w:val="TableParagraph"/>
            </w:pPr>
          </w:p>
        </w:tc>
        <w:tc>
          <w:tcPr>
            <w:tcW w:w="7713" w:type="dxa"/>
          </w:tcPr>
          <w:p w14:paraId="7B9ED08B" w14:textId="77777777" w:rsidR="00BC7EAF" w:rsidRDefault="00C8434D">
            <w:pPr>
              <w:pStyle w:val="TableParagraph"/>
              <w:spacing w:before="135"/>
              <w:ind w:left="245"/>
              <w:rPr>
                <w:b/>
                <w:sz w:val="24"/>
              </w:rPr>
            </w:pPr>
            <w:r>
              <w:rPr>
                <w:b/>
                <w:sz w:val="24"/>
                <w:u w:val="thick"/>
              </w:rPr>
              <w:t>OPENING ITEMS:</w:t>
            </w:r>
          </w:p>
        </w:tc>
        <w:tc>
          <w:tcPr>
            <w:tcW w:w="1317" w:type="dxa"/>
          </w:tcPr>
          <w:p w14:paraId="16B35A23" w14:textId="77777777" w:rsidR="00BC7EAF" w:rsidRDefault="00BC7EAF">
            <w:pPr>
              <w:pStyle w:val="TableParagraph"/>
            </w:pPr>
          </w:p>
        </w:tc>
      </w:tr>
      <w:tr w:rsidR="00BC7EAF" w14:paraId="0E9B18D8" w14:textId="77777777">
        <w:trPr>
          <w:trHeight w:val="1927"/>
        </w:trPr>
        <w:tc>
          <w:tcPr>
            <w:tcW w:w="881" w:type="dxa"/>
          </w:tcPr>
          <w:p w14:paraId="7DD13192" w14:textId="77777777" w:rsidR="00BC7EAF" w:rsidRDefault="00C8434D">
            <w:pPr>
              <w:pStyle w:val="TableParagraph"/>
              <w:spacing w:before="133"/>
              <w:ind w:left="200"/>
              <w:rPr>
                <w:b/>
                <w:sz w:val="24"/>
              </w:rPr>
            </w:pPr>
            <w:r>
              <w:rPr>
                <w:b/>
                <w:sz w:val="24"/>
              </w:rPr>
              <w:t>1.0</w:t>
            </w:r>
          </w:p>
          <w:p w14:paraId="5D67B270" w14:textId="77777777" w:rsidR="00BC7EAF" w:rsidRDefault="00BC7EAF">
            <w:pPr>
              <w:pStyle w:val="TableParagraph"/>
              <w:spacing w:before="6"/>
              <w:rPr>
                <w:sz w:val="23"/>
              </w:rPr>
            </w:pPr>
          </w:p>
          <w:p w14:paraId="6E354B07" w14:textId="77777777" w:rsidR="00BC7EAF" w:rsidRDefault="00C8434D">
            <w:pPr>
              <w:pStyle w:val="TableParagraph"/>
              <w:ind w:left="200"/>
              <w:rPr>
                <w:sz w:val="24"/>
              </w:rPr>
            </w:pPr>
            <w:r>
              <w:rPr>
                <w:sz w:val="24"/>
              </w:rPr>
              <w:t>1.1</w:t>
            </w:r>
          </w:p>
          <w:p w14:paraId="0D8C2B4E" w14:textId="77777777" w:rsidR="00BC7EAF" w:rsidRDefault="00BC7EAF">
            <w:pPr>
              <w:pStyle w:val="TableParagraph"/>
              <w:rPr>
                <w:sz w:val="26"/>
              </w:rPr>
            </w:pPr>
          </w:p>
          <w:p w14:paraId="55660835" w14:textId="77777777" w:rsidR="00BC7EAF" w:rsidRDefault="00BC7EAF">
            <w:pPr>
              <w:pStyle w:val="TableParagraph"/>
            </w:pPr>
          </w:p>
          <w:p w14:paraId="4655ADEC" w14:textId="77777777" w:rsidR="00BC7EAF" w:rsidRDefault="00C8434D">
            <w:pPr>
              <w:pStyle w:val="TableParagraph"/>
              <w:ind w:left="200"/>
              <w:rPr>
                <w:sz w:val="24"/>
              </w:rPr>
            </w:pPr>
            <w:r>
              <w:rPr>
                <w:sz w:val="24"/>
              </w:rPr>
              <w:t>1.2</w:t>
            </w:r>
          </w:p>
        </w:tc>
        <w:tc>
          <w:tcPr>
            <w:tcW w:w="7713" w:type="dxa"/>
            <w:vMerge w:val="restart"/>
          </w:tcPr>
          <w:p w14:paraId="5FFE1A50" w14:textId="77777777" w:rsidR="00BC7EAF" w:rsidRDefault="00C8434D">
            <w:pPr>
              <w:pStyle w:val="TableParagraph"/>
              <w:spacing w:before="133"/>
              <w:ind w:left="245"/>
              <w:rPr>
                <w:b/>
                <w:sz w:val="24"/>
              </w:rPr>
            </w:pPr>
            <w:r>
              <w:rPr>
                <w:b/>
                <w:sz w:val="24"/>
                <w:u w:val="thick"/>
              </w:rPr>
              <w:t>Minutes of the Previous Meeting held Thursday 30 June 2016</w:t>
            </w:r>
          </w:p>
          <w:p w14:paraId="32445843" w14:textId="77777777" w:rsidR="00BC7EAF" w:rsidRDefault="00BC7EAF">
            <w:pPr>
              <w:pStyle w:val="TableParagraph"/>
              <w:spacing w:before="6"/>
              <w:rPr>
                <w:sz w:val="23"/>
              </w:rPr>
            </w:pPr>
          </w:p>
          <w:p w14:paraId="02FADD15" w14:textId="77777777" w:rsidR="00BC7EAF" w:rsidRDefault="00C8434D">
            <w:pPr>
              <w:pStyle w:val="TableParagraph"/>
              <w:ind w:left="245" w:right="90"/>
              <w:rPr>
                <w:sz w:val="24"/>
              </w:rPr>
            </w:pPr>
            <w:r>
              <w:rPr>
                <w:sz w:val="24"/>
              </w:rPr>
              <w:t>The Minutes of the Meeting held on Thursday 30 June 2016 were accepted as a true record of the meeting.</w:t>
            </w:r>
          </w:p>
          <w:p w14:paraId="6D0020D4" w14:textId="77777777" w:rsidR="00BC7EAF" w:rsidRDefault="00BC7EAF">
            <w:pPr>
              <w:pStyle w:val="TableParagraph"/>
              <w:rPr>
                <w:sz w:val="24"/>
              </w:rPr>
            </w:pPr>
          </w:p>
          <w:p w14:paraId="38F859AF" w14:textId="77777777" w:rsidR="00BC7EAF" w:rsidRDefault="00C8434D">
            <w:pPr>
              <w:pStyle w:val="TableParagraph"/>
              <w:ind w:left="245"/>
              <w:rPr>
                <w:sz w:val="24"/>
              </w:rPr>
            </w:pPr>
            <w:r>
              <w:rPr>
                <w:b/>
                <w:sz w:val="24"/>
                <w:u w:val="thick"/>
              </w:rPr>
              <w:t>Decisions</w:t>
            </w:r>
            <w:r>
              <w:rPr>
                <w:b/>
                <w:sz w:val="24"/>
              </w:rPr>
              <w:t xml:space="preserve">. </w:t>
            </w:r>
            <w:r>
              <w:rPr>
                <w:sz w:val="24"/>
              </w:rPr>
              <w:t>It was agreed that:</w:t>
            </w:r>
          </w:p>
          <w:p w14:paraId="2A9551F0" w14:textId="77777777" w:rsidR="00BC7EAF" w:rsidRDefault="00BC7EAF">
            <w:pPr>
              <w:pStyle w:val="TableParagraph"/>
              <w:rPr>
                <w:sz w:val="24"/>
              </w:rPr>
            </w:pPr>
          </w:p>
          <w:p w14:paraId="3D7522FA" w14:textId="77777777" w:rsidR="00BC7EAF" w:rsidRDefault="00C8434D">
            <w:pPr>
              <w:pStyle w:val="TableParagraph"/>
              <w:spacing w:line="270" w:lineRule="atLeast"/>
              <w:ind w:left="245" w:right="204"/>
              <w:jc w:val="both"/>
              <w:rPr>
                <w:sz w:val="24"/>
              </w:rPr>
            </w:pPr>
            <w:r>
              <w:rPr>
                <w:sz w:val="24"/>
              </w:rPr>
              <w:t>The Secretary would place a copy of the approved Minute</w:t>
            </w:r>
            <w:r>
              <w:rPr>
                <w:sz w:val="24"/>
              </w:rPr>
              <w:t>s in the Library, on the General Drive, the RBGE Website and circulate by e-mail to the Board of Trustees.</w:t>
            </w:r>
          </w:p>
        </w:tc>
        <w:tc>
          <w:tcPr>
            <w:tcW w:w="1317" w:type="dxa"/>
          </w:tcPr>
          <w:p w14:paraId="51CBB2E7" w14:textId="77777777" w:rsidR="00BC7EAF" w:rsidRDefault="00BC7EAF">
            <w:pPr>
              <w:pStyle w:val="TableParagraph"/>
            </w:pPr>
          </w:p>
        </w:tc>
      </w:tr>
      <w:tr w:rsidR="00BC7EAF" w14:paraId="2C118EEA" w14:textId="77777777">
        <w:trPr>
          <w:trHeight w:val="960"/>
        </w:trPr>
        <w:tc>
          <w:tcPr>
            <w:tcW w:w="881" w:type="dxa"/>
          </w:tcPr>
          <w:p w14:paraId="6F14D089" w14:textId="77777777" w:rsidR="00BC7EAF" w:rsidRDefault="00BC7EAF">
            <w:pPr>
              <w:pStyle w:val="TableParagraph"/>
            </w:pPr>
          </w:p>
        </w:tc>
        <w:tc>
          <w:tcPr>
            <w:tcW w:w="7713" w:type="dxa"/>
            <w:vMerge/>
            <w:tcBorders>
              <w:top w:val="nil"/>
            </w:tcBorders>
          </w:tcPr>
          <w:p w14:paraId="0C910F35" w14:textId="77777777" w:rsidR="00BC7EAF" w:rsidRDefault="00BC7EAF">
            <w:pPr>
              <w:rPr>
                <w:sz w:val="2"/>
                <w:szCs w:val="2"/>
              </w:rPr>
            </w:pPr>
          </w:p>
        </w:tc>
        <w:tc>
          <w:tcPr>
            <w:tcW w:w="1317" w:type="dxa"/>
          </w:tcPr>
          <w:p w14:paraId="34012C69" w14:textId="77777777" w:rsidR="00BC7EAF" w:rsidRDefault="00C8434D">
            <w:pPr>
              <w:pStyle w:val="TableParagraph"/>
              <w:spacing w:before="133"/>
              <w:ind w:left="187" w:right="180"/>
              <w:jc w:val="center"/>
              <w:rPr>
                <w:sz w:val="24"/>
              </w:rPr>
            </w:pPr>
            <w:r>
              <w:rPr>
                <w:sz w:val="24"/>
              </w:rPr>
              <w:t>Secretary</w:t>
            </w:r>
          </w:p>
        </w:tc>
      </w:tr>
    </w:tbl>
    <w:p w14:paraId="38A46786" w14:textId="77777777" w:rsidR="00BC7EAF" w:rsidRDefault="00BC7EAF">
      <w:pPr>
        <w:jc w:val="center"/>
        <w:rPr>
          <w:sz w:val="24"/>
        </w:rPr>
        <w:sectPr w:rsidR="00BC7EAF">
          <w:footerReference w:type="default" r:id="rId7"/>
          <w:type w:val="continuous"/>
          <w:pgSz w:w="11910" w:h="16840"/>
          <w:pgMar w:top="920" w:right="660" w:bottom="560" w:left="1100" w:header="720" w:footer="380" w:gutter="0"/>
          <w:pgNumType w:start="1"/>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881"/>
        <w:gridCol w:w="5225"/>
        <w:gridCol w:w="2418"/>
        <w:gridCol w:w="1257"/>
      </w:tblGrid>
      <w:tr w:rsidR="00BC7EAF" w14:paraId="2DBC7424" w14:textId="77777777">
        <w:trPr>
          <w:trHeight w:val="411"/>
        </w:trPr>
        <w:tc>
          <w:tcPr>
            <w:tcW w:w="881" w:type="dxa"/>
          </w:tcPr>
          <w:p w14:paraId="16244238" w14:textId="77777777" w:rsidR="00BC7EAF" w:rsidRDefault="00C8434D">
            <w:pPr>
              <w:pStyle w:val="TableParagraph"/>
              <w:spacing w:line="258" w:lineRule="exact"/>
              <w:ind w:left="179" w:right="221"/>
              <w:jc w:val="center"/>
              <w:rPr>
                <w:sz w:val="24"/>
              </w:rPr>
            </w:pPr>
            <w:r>
              <w:rPr>
                <w:sz w:val="24"/>
                <w:u w:val="single"/>
              </w:rPr>
              <w:lastRenderedPageBreak/>
              <w:t>Item</w:t>
            </w:r>
          </w:p>
        </w:tc>
        <w:tc>
          <w:tcPr>
            <w:tcW w:w="5225" w:type="dxa"/>
          </w:tcPr>
          <w:p w14:paraId="080D1D36" w14:textId="77777777" w:rsidR="00BC7EAF" w:rsidRDefault="00C8434D">
            <w:pPr>
              <w:pStyle w:val="TableParagraph"/>
              <w:spacing w:line="258" w:lineRule="exact"/>
              <w:ind w:left="245"/>
              <w:rPr>
                <w:sz w:val="24"/>
              </w:rPr>
            </w:pPr>
            <w:r>
              <w:rPr>
                <w:sz w:val="24"/>
                <w:u w:val="single"/>
              </w:rPr>
              <w:t>Narrative &amp; Decisions</w:t>
            </w:r>
          </w:p>
        </w:tc>
        <w:tc>
          <w:tcPr>
            <w:tcW w:w="3675" w:type="dxa"/>
            <w:gridSpan w:val="2"/>
          </w:tcPr>
          <w:p w14:paraId="7A26634D" w14:textId="77777777" w:rsidR="00BC7EAF" w:rsidRDefault="00C8434D">
            <w:pPr>
              <w:pStyle w:val="TableParagraph"/>
              <w:spacing w:line="258" w:lineRule="exact"/>
              <w:ind w:right="197"/>
              <w:jc w:val="right"/>
              <w:rPr>
                <w:sz w:val="24"/>
              </w:rPr>
            </w:pPr>
            <w:r>
              <w:rPr>
                <w:sz w:val="24"/>
                <w:u w:val="single"/>
              </w:rPr>
              <w:t>Action</w:t>
            </w:r>
          </w:p>
        </w:tc>
      </w:tr>
      <w:tr w:rsidR="00BC7EAF" w14:paraId="4445D017" w14:textId="77777777">
        <w:trPr>
          <w:trHeight w:val="551"/>
        </w:trPr>
        <w:tc>
          <w:tcPr>
            <w:tcW w:w="881" w:type="dxa"/>
          </w:tcPr>
          <w:p w14:paraId="31C04399" w14:textId="77777777" w:rsidR="00BC7EAF" w:rsidRDefault="00C8434D">
            <w:pPr>
              <w:pStyle w:val="TableParagraph"/>
              <w:spacing w:before="127"/>
              <w:ind w:left="41" w:right="221"/>
              <w:jc w:val="center"/>
              <w:rPr>
                <w:b/>
                <w:sz w:val="24"/>
              </w:rPr>
            </w:pPr>
            <w:r>
              <w:rPr>
                <w:b/>
                <w:sz w:val="24"/>
              </w:rPr>
              <w:t>2.0</w:t>
            </w:r>
          </w:p>
        </w:tc>
        <w:tc>
          <w:tcPr>
            <w:tcW w:w="8900" w:type="dxa"/>
            <w:gridSpan w:val="3"/>
          </w:tcPr>
          <w:p w14:paraId="37EE191A" w14:textId="77777777" w:rsidR="00BC7EAF" w:rsidRDefault="00C8434D">
            <w:pPr>
              <w:pStyle w:val="TableParagraph"/>
              <w:spacing w:before="127"/>
              <w:ind w:left="245"/>
              <w:rPr>
                <w:b/>
                <w:sz w:val="24"/>
              </w:rPr>
            </w:pPr>
            <w:r>
              <w:rPr>
                <w:b/>
                <w:sz w:val="24"/>
                <w:u w:val="thick"/>
              </w:rPr>
              <w:t>Chairman’s Report</w:t>
            </w:r>
          </w:p>
        </w:tc>
      </w:tr>
      <w:tr w:rsidR="00BC7EAF" w14:paraId="64DCDDAB" w14:textId="77777777">
        <w:trPr>
          <w:trHeight w:val="549"/>
        </w:trPr>
        <w:tc>
          <w:tcPr>
            <w:tcW w:w="881" w:type="dxa"/>
          </w:tcPr>
          <w:p w14:paraId="454CCD6F" w14:textId="77777777" w:rsidR="00BC7EAF" w:rsidRDefault="00C8434D">
            <w:pPr>
              <w:pStyle w:val="TableParagraph"/>
              <w:spacing w:before="122"/>
              <w:ind w:left="41" w:right="221"/>
              <w:jc w:val="center"/>
              <w:rPr>
                <w:sz w:val="24"/>
              </w:rPr>
            </w:pPr>
            <w:r>
              <w:rPr>
                <w:sz w:val="24"/>
              </w:rPr>
              <w:t>2.1</w:t>
            </w:r>
          </w:p>
        </w:tc>
        <w:tc>
          <w:tcPr>
            <w:tcW w:w="8900" w:type="dxa"/>
            <w:gridSpan w:val="3"/>
          </w:tcPr>
          <w:p w14:paraId="2E71F551" w14:textId="77777777" w:rsidR="00BC7EAF" w:rsidRDefault="00C8434D">
            <w:pPr>
              <w:pStyle w:val="TableParagraph"/>
              <w:spacing w:before="122"/>
              <w:ind w:left="245"/>
              <w:rPr>
                <w:sz w:val="24"/>
              </w:rPr>
            </w:pPr>
            <w:r>
              <w:rPr>
                <w:sz w:val="24"/>
                <w:u w:val="single"/>
              </w:rPr>
              <w:t>Recruitment of Trustees</w:t>
            </w:r>
          </w:p>
        </w:tc>
      </w:tr>
      <w:tr w:rsidR="00242D14" w14:paraId="1C830ABA" w14:textId="77777777" w:rsidTr="00242D14">
        <w:trPr>
          <w:trHeight w:val="414"/>
        </w:trPr>
        <w:tc>
          <w:tcPr>
            <w:tcW w:w="881" w:type="dxa"/>
          </w:tcPr>
          <w:p w14:paraId="0830E0A3" w14:textId="77777777" w:rsidR="00242D14" w:rsidRDefault="00242D14">
            <w:pPr>
              <w:pStyle w:val="TableParagraph"/>
            </w:pPr>
          </w:p>
        </w:tc>
        <w:tc>
          <w:tcPr>
            <w:tcW w:w="7643" w:type="dxa"/>
            <w:gridSpan w:val="2"/>
          </w:tcPr>
          <w:p w14:paraId="1A0CED09" w14:textId="79173DC7" w:rsidR="00242D14" w:rsidRDefault="00242D14" w:rsidP="00242D14">
            <w:pPr>
              <w:pStyle w:val="TableParagraph"/>
              <w:spacing w:before="124" w:line="269" w:lineRule="exact"/>
              <w:ind w:left="245"/>
              <w:jc w:val="both"/>
              <w:rPr>
                <w:sz w:val="24"/>
              </w:rPr>
            </w:pPr>
            <w:r>
              <w:rPr>
                <w:sz w:val="24"/>
              </w:rPr>
              <w:t xml:space="preserve">The Scottish Government’s process for the recruitment of two new </w:t>
            </w:r>
            <w:r>
              <w:rPr>
                <w:sz w:val="24"/>
              </w:rPr>
              <w:t>Trustees   had</w:t>
            </w:r>
            <w:r>
              <w:rPr>
                <w:spacing w:val="38"/>
                <w:sz w:val="24"/>
              </w:rPr>
              <w:t xml:space="preserve"> </w:t>
            </w:r>
            <w:r>
              <w:rPr>
                <w:sz w:val="24"/>
              </w:rPr>
              <w:t xml:space="preserve">just </w:t>
            </w:r>
            <w:r>
              <w:rPr>
                <w:spacing w:val="21"/>
                <w:sz w:val="24"/>
              </w:rPr>
              <w:t xml:space="preserve"> </w:t>
            </w:r>
            <w:r>
              <w:rPr>
                <w:sz w:val="24"/>
              </w:rPr>
              <w:t>started.</w:t>
            </w:r>
            <w:r>
              <w:rPr>
                <w:sz w:val="24"/>
              </w:rPr>
              <w:t xml:space="preserve"> </w:t>
            </w:r>
            <w:r>
              <w:rPr>
                <w:sz w:val="24"/>
              </w:rPr>
              <w:t>There was a vacancy for a Trustee</w:t>
            </w:r>
            <w:r>
              <w:rPr>
                <w:spacing w:val="20"/>
                <w:sz w:val="24"/>
              </w:rPr>
              <w:t xml:space="preserve"> </w:t>
            </w:r>
            <w:r>
              <w:rPr>
                <w:sz w:val="24"/>
              </w:rPr>
              <w:t>with</w:t>
            </w:r>
            <w:r>
              <w:rPr>
                <w:sz w:val="24"/>
              </w:rPr>
              <w:t xml:space="preserve"> </w:t>
            </w:r>
            <w:r>
              <w:rPr>
                <w:sz w:val="24"/>
              </w:rPr>
              <w:t>experience of the development of visitor destinations and a requirement to</w:t>
            </w:r>
            <w:r>
              <w:rPr>
                <w:sz w:val="24"/>
              </w:rPr>
              <w:t xml:space="preserve"> </w:t>
            </w:r>
            <w:r>
              <w:rPr>
                <w:sz w:val="24"/>
              </w:rPr>
              <w:t xml:space="preserve">replace  Mr  Tim  Rollinson  on  28 </w:t>
            </w:r>
            <w:r>
              <w:rPr>
                <w:spacing w:val="47"/>
                <w:sz w:val="24"/>
              </w:rPr>
              <w:t xml:space="preserve"> </w:t>
            </w:r>
            <w:r>
              <w:rPr>
                <w:sz w:val="24"/>
              </w:rPr>
              <w:t xml:space="preserve">February </w:t>
            </w:r>
            <w:r>
              <w:rPr>
                <w:spacing w:val="1"/>
                <w:sz w:val="24"/>
              </w:rPr>
              <w:t xml:space="preserve"> </w:t>
            </w:r>
            <w:r>
              <w:rPr>
                <w:sz w:val="24"/>
              </w:rPr>
              <w:t>2017.</w:t>
            </w:r>
            <w:r>
              <w:rPr>
                <w:sz w:val="24"/>
              </w:rPr>
              <w:t xml:space="preserve"> </w:t>
            </w:r>
            <w:r>
              <w:rPr>
                <w:sz w:val="24"/>
              </w:rPr>
              <w:t>The latter</w:t>
            </w:r>
            <w:r>
              <w:rPr>
                <w:spacing w:val="16"/>
                <w:sz w:val="24"/>
              </w:rPr>
              <w:t xml:space="preserve"> </w:t>
            </w:r>
            <w:r>
              <w:rPr>
                <w:sz w:val="24"/>
              </w:rPr>
              <w:t>position</w:t>
            </w:r>
            <w:r>
              <w:rPr>
                <w:sz w:val="24"/>
              </w:rPr>
              <w:t xml:space="preserve"> </w:t>
            </w:r>
            <w:r>
              <w:rPr>
                <w:sz w:val="24"/>
              </w:rPr>
              <w:t>required a Trustee with experience in policy development and strategic</w:t>
            </w:r>
            <w:r>
              <w:rPr>
                <w:sz w:val="24"/>
              </w:rPr>
              <w:t xml:space="preserve"> </w:t>
            </w:r>
            <w:r>
              <w:rPr>
                <w:sz w:val="24"/>
              </w:rPr>
              <w:t>planning.</w:t>
            </w:r>
            <w:r w:rsidR="006B5AF3">
              <w:rPr>
                <w:sz w:val="24"/>
              </w:rPr>
              <w:t xml:space="preserve"> </w:t>
            </w:r>
            <w:r>
              <w:rPr>
                <w:sz w:val="24"/>
              </w:rPr>
              <w:t xml:space="preserve">The </w:t>
            </w:r>
            <w:r w:rsidR="006B5AF3">
              <w:rPr>
                <w:sz w:val="24"/>
              </w:rPr>
              <w:t>S</w:t>
            </w:r>
            <w:r>
              <w:rPr>
                <w:sz w:val="24"/>
              </w:rPr>
              <w:t>cottish Government would use an agency to help</w:t>
            </w:r>
            <w:r>
              <w:rPr>
                <w:spacing w:val="10"/>
                <w:sz w:val="24"/>
              </w:rPr>
              <w:t xml:space="preserve"> </w:t>
            </w:r>
            <w:r>
              <w:rPr>
                <w:sz w:val="24"/>
              </w:rPr>
              <w:t>find</w:t>
            </w:r>
            <w:r>
              <w:rPr>
                <w:sz w:val="24"/>
              </w:rPr>
              <w:t xml:space="preserve"> </w:t>
            </w:r>
            <w:r>
              <w:rPr>
                <w:sz w:val="24"/>
              </w:rPr>
              <w:t>potential Trustees and the ‘Person Specification’ for both vacancies had</w:t>
            </w:r>
            <w:r>
              <w:rPr>
                <w:sz w:val="24"/>
              </w:rPr>
              <w:t xml:space="preserve"> </w:t>
            </w:r>
            <w:r>
              <w:rPr>
                <w:sz w:val="24"/>
              </w:rPr>
              <w:t>been drafted.</w:t>
            </w:r>
          </w:p>
          <w:p w14:paraId="01C46427" w14:textId="77777777" w:rsidR="00242D14" w:rsidRDefault="00242D14">
            <w:pPr>
              <w:pStyle w:val="TableParagraph"/>
              <w:spacing w:before="124" w:line="269" w:lineRule="exact"/>
              <w:ind w:left="245"/>
              <w:rPr>
                <w:sz w:val="24"/>
              </w:rPr>
            </w:pPr>
          </w:p>
        </w:tc>
        <w:tc>
          <w:tcPr>
            <w:tcW w:w="1257" w:type="dxa"/>
          </w:tcPr>
          <w:p w14:paraId="562675D3" w14:textId="7CEE3960" w:rsidR="00242D14" w:rsidRDefault="00242D14">
            <w:pPr>
              <w:pStyle w:val="TableParagraph"/>
              <w:spacing w:before="124" w:line="269" w:lineRule="exact"/>
              <w:ind w:left="245"/>
              <w:rPr>
                <w:sz w:val="24"/>
              </w:rPr>
            </w:pPr>
          </w:p>
        </w:tc>
      </w:tr>
      <w:tr w:rsidR="00BC7EAF" w14:paraId="78E3FD8D" w14:textId="77777777">
        <w:trPr>
          <w:trHeight w:val="552"/>
        </w:trPr>
        <w:tc>
          <w:tcPr>
            <w:tcW w:w="881" w:type="dxa"/>
          </w:tcPr>
          <w:p w14:paraId="50672485" w14:textId="77777777" w:rsidR="00BC7EAF" w:rsidRDefault="00C8434D">
            <w:pPr>
              <w:pStyle w:val="TableParagraph"/>
              <w:spacing w:before="124"/>
              <w:ind w:left="41" w:right="221"/>
              <w:jc w:val="center"/>
              <w:rPr>
                <w:sz w:val="24"/>
              </w:rPr>
            </w:pPr>
            <w:r>
              <w:rPr>
                <w:sz w:val="24"/>
              </w:rPr>
              <w:t>2.2</w:t>
            </w:r>
          </w:p>
        </w:tc>
        <w:tc>
          <w:tcPr>
            <w:tcW w:w="8900" w:type="dxa"/>
            <w:gridSpan w:val="3"/>
          </w:tcPr>
          <w:p w14:paraId="1FF0EDEA" w14:textId="77777777" w:rsidR="00BC7EAF" w:rsidRDefault="00C8434D">
            <w:pPr>
              <w:pStyle w:val="TableParagraph"/>
              <w:spacing w:before="124"/>
              <w:ind w:left="245"/>
              <w:rPr>
                <w:sz w:val="24"/>
              </w:rPr>
            </w:pPr>
            <w:r>
              <w:rPr>
                <w:sz w:val="24"/>
                <w:u w:val="single"/>
              </w:rPr>
              <w:t>Impact Group</w:t>
            </w:r>
          </w:p>
        </w:tc>
      </w:tr>
      <w:tr w:rsidR="006B5AF3" w14:paraId="1879458D" w14:textId="77777777" w:rsidTr="006B5AF3">
        <w:trPr>
          <w:trHeight w:val="1377"/>
        </w:trPr>
        <w:tc>
          <w:tcPr>
            <w:tcW w:w="881" w:type="dxa"/>
          </w:tcPr>
          <w:p w14:paraId="5D82F85E" w14:textId="77777777" w:rsidR="006B5AF3" w:rsidRDefault="006B5AF3">
            <w:pPr>
              <w:pStyle w:val="TableParagraph"/>
            </w:pPr>
          </w:p>
        </w:tc>
        <w:tc>
          <w:tcPr>
            <w:tcW w:w="7643" w:type="dxa"/>
            <w:gridSpan w:val="2"/>
          </w:tcPr>
          <w:p w14:paraId="3C8CA448" w14:textId="77777777" w:rsidR="006B5AF3" w:rsidRDefault="006B5AF3" w:rsidP="006B5AF3">
            <w:pPr>
              <w:pStyle w:val="TableParagraph"/>
              <w:spacing w:before="124" w:line="269" w:lineRule="exact"/>
              <w:ind w:left="245"/>
              <w:jc w:val="both"/>
              <w:rPr>
                <w:sz w:val="24"/>
              </w:rPr>
            </w:pPr>
            <w:r>
              <w:rPr>
                <w:sz w:val="24"/>
              </w:rPr>
              <w:t>The Chairman had been asked to act as an advisor on the Impact Panel to assist the Directors of all the Main Research Providers to consider each organisation’s unique selling point, their value for Scotland, international reputation, links to the European Union and Knowledge Exchange.</w:t>
            </w:r>
          </w:p>
        </w:tc>
        <w:tc>
          <w:tcPr>
            <w:tcW w:w="1257" w:type="dxa"/>
          </w:tcPr>
          <w:p w14:paraId="047F0897" w14:textId="5811C3AD" w:rsidR="006B5AF3" w:rsidRDefault="006B5AF3" w:rsidP="006B5AF3">
            <w:pPr>
              <w:pStyle w:val="TableParagraph"/>
              <w:spacing w:before="124" w:line="269" w:lineRule="exact"/>
              <w:ind w:left="245"/>
              <w:jc w:val="both"/>
              <w:rPr>
                <w:sz w:val="24"/>
              </w:rPr>
            </w:pPr>
          </w:p>
        </w:tc>
      </w:tr>
      <w:tr w:rsidR="00BC7EAF" w14:paraId="2DA3962A" w14:textId="77777777">
        <w:trPr>
          <w:trHeight w:val="414"/>
        </w:trPr>
        <w:tc>
          <w:tcPr>
            <w:tcW w:w="881" w:type="dxa"/>
          </w:tcPr>
          <w:p w14:paraId="65C57C74" w14:textId="77777777" w:rsidR="00BC7EAF" w:rsidRDefault="00C8434D">
            <w:pPr>
              <w:pStyle w:val="TableParagraph"/>
              <w:spacing w:before="124" w:line="269" w:lineRule="exact"/>
              <w:ind w:left="41" w:right="221"/>
              <w:jc w:val="center"/>
              <w:rPr>
                <w:sz w:val="24"/>
              </w:rPr>
            </w:pPr>
            <w:r>
              <w:rPr>
                <w:sz w:val="24"/>
              </w:rPr>
              <w:t>2.3</w:t>
            </w:r>
          </w:p>
        </w:tc>
        <w:tc>
          <w:tcPr>
            <w:tcW w:w="8900" w:type="dxa"/>
            <w:gridSpan w:val="3"/>
          </w:tcPr>
          <w:p w14:paraId="64445CA8" w14:textId="77777777" w:rsidR="00BC7EAF" w:rsidRDefault="00C8434D">
            <w:pPr>
              <w:pStyle w:val="TableParagraph"/>
              <w:spacing w:before="124" w:line="269" w:lineRule="exact"/>
              <w:ind w:left="245"/>
              <w:rPr>
                <w:sz w:val="24"/>
              </w:rPr>
            </w:pPr>
            <w:r>
              <w:rPr>
                <w:sz w:val="24"/>
                <w:u w:val="single"/>
              </w:rPr>
              <w:t>Meeting with Roseanna Cunningham MSP (Cabinet Secretary for the</w:t>
            </w:r>
          </w:p>
        </w:tc>
      </w:tr>
      <w:tr w:rsidR="00BC7EAF" w14:paraId="1F514176" w14:textId="77777777">
        <w:trPr>
          <w:trHeight w:val="414"/>
        </w:trPr>
        <w:tc>
          <w:tcPr>
            <w:tcW w:w="881" w:type="dxa"/>
          </w:tcPr>
          <w:p w14:paraId="77C489C5" w14:textId="77777777" w:rsidR="00BC7EAF" w:rsidRDefault="00BC7EAF">
            <w:pPr>
              <w:pStyle w:val="TableParagraph"/>
            </w:pPr>
          </w:p>
        </w:tc>
        <w:tc>
          <w:tcPr>
            <w:tcW w:w="8900" w:type="dxa"/>
            <w:gridSpan w:val="3"/>
          </w:tcPr>
          <w:p w14:paraId="49E63377" w14:textId="77777777" w:rsidR="00BC7EAF" w:rsidRDefault="00C8434D">
            <w:pPr>
              <w:pStyle w:val="TableParagraph"/>
              <w:spacing w:line="263" w:lineRule="exact"/>
              <w:ind w:left="245"/>
              <w:rPr>
                <w:sz w:val="24"/>
              </w:rPr>
            </w:pPr>
            <w:r>
              <w:rPr>
                <w:sz w:val="24"/>
                <w:u w:val="single"/>
              </w:rPr>
              <w:t>Environment, Climate Change and Land Reform)</w:t>
            </w:r>
          </w:p>
        </w:tc>
      </w:tr>
      <w:tr w:rsidR="00242D14" w14:paraId="4326F8C6" w14:textId="77777777" w:rsidTr="00242D14">
        <w:trPr>
          <w:trHeight w:val="2207"/>
        </w:trPr>
        <w:tc>
          <w:tcPr>
            <w:tcW w:w="881" w:type="dxa"/>
          </w:tcPr>
          <w:p w14:paraId="0B490E8F" w14:textId="77777777" w:rsidR="00242D14" w:rsidRDefault="00242D14">
            <w:pPr>
              <w:pStyle w:val="TableParagraph"/>
            </w:pPr>
          </w:p>
        </w:tc>
        <w:tc>
          <w:tcPr>
            <w:tcW w:w="7643" w:type="dxa"/>
            <w:gridSpan w:val="2"/>
          </w:tcPr>
          <w:p w14:paraId="13013A78" w14:textId="77A4D4C8" w:rsidR="00242D14" w:rsidRDefault="00242D14" w:rsidP="00242D14">
            <w:pPr>
              <w:pStyle w:val="TableParagraph"/>
              <w:spacing w:before="124" w:line="269" w:lineRule="exact"/>
              <w:ind w:left="245"/>
              <w:jc w:val="both"/>
              <w:rPr>
                <w:sz w:val="24"/>
              </w:rPr>
            </w:pPr>
            <w:r>
              <w:rPr>
                <w:sz w:val="24"/>
              </w:rPr>
              <w:t>The Chairman and Regius Keeper had a very positive meeting with the Cabinet Secretary for Environment, Climate Change and Land Reform, Dr Linda Pooley and</w:t>
            </w:r>
            <w:r>
              <w:rPr>
                <w:spacing w:val="52"/>
                <w:sz w:val="24"/>
              </w:rPr>
              <w:t xml:space="preserve"> </w:t>
            </w:r>
            <w:r>
              <w:rPr>
                <w:sz w:val="24"/>
              </w:rPr>
              <w:t>Mr</w:t>
            </w:r>
            <w:r>
              <w:rPr>
                <w:spacing w:val="51"/>
                <w:sz w:val="24"/>
              </w:rPr>
              <w:t xml:space="preserve"> </w:t>
            </w:r>
            <w:r>
              <w:rPr>
                <w:sz w:val="24"/>
              </w:rPr>
              <w:t>Chris Rich (Rural</w:t>
            </w:r>
            <w:r>
              <w:rPr>
                <w:spacing w:val="53"/>
                <w:sz w:val="24"/>
              </w:rPr>
              <w:t xml:space="preserve"> </w:t>
            </w:r>
            <w:r>
              <w:rPr>
                <w:sz w:val="24"/>
              </w:rPr>
              <w:t>and</w:t>
            </w:r>
            <w:r>
              <w:rPr>
                <w:spacing w:val="51"/>
                <w:sz w:val="24"/>
              </w:rPr>
              <w:t xml:space="preserve"> </w:t>
            </w:r>
            <w:r>
              <w:rPr>
                <w:sz w:val="24"/>
              </w:rPr>
              <w:t>Environment Science and Analytical Services Division (RESAS)) and Mr David Miller (Special Advisor) on Tuesday 30 August 2016. Mr Miller would visit the RBGE on Monday 10 October 2016 for an update on programmes, initiatives and to</w:t>
            </w:r>
            <w:r w:rsidR="0013079A">
              <w:rPr>
                <w:sz w:val="24"/>
              </w:rPr>
              <w:t xml:space="preserve"> </w:t>
            </w:r>
            <w:r w:rsidR="0013079A">
              <w:rPr>
                <w:sz w:val="24"/>
              </w:rPr>
              <w:t>discuss communications.</w:t>
            </w:r>
          </w:p>
        </w:tc>
        <w:tc>
          <w:tcPr>
            <w:tcW w:w="1257" w:type="dxa"/>
          </w:tcPr>
          <w:p w14:paraId="0CC02A64" w14:textId="5E4A4FBF" w:rsidR="00242D14" w:rsidRDefault="00242D14" w:rsidP="006D6F6B">
            <w:pPr>
              <w:pStyle w:val="TableParagraph"/>
              <w:spacing w:line="263" w:lineRule="exact"/>
              <w:ind w:left="245"/>
              <w:rPr>
                <w:sz w:val="24"/>
              </w:rPr>
            </w:pPr>
          </w:p>
        </w:tc>
      </w:tr>
      <w:tr w:rsidR="00BC7EAF" w14:paraId="4AB00872" w14:textId="77777777">
        <w:trPr>
          <w:trHeight w:val="552"/>
        </w:trPr>
        <w:tc>
          <w:tcPr>
            <w:tcW w:w="881" w:type="dxa"/>
          </w:tcPr>
          <w:p w14:paraId="06C21DBC" w14:textId="77777777" w:rsidR="00BC7EAF" w:rsidRDefault="00C8434D">
            <w:pPr>
              <w:pStyle w:val="TableParagraph"/>
              <w:spacing w:before="127"/>
              <w:ind w:left="41" w:right="221"/>
              <w:jc w:val="center"/>
              <w:rPr>
                <w:b/>
                <w:sz w:val="24"/>
              </w:rPr>
            </w:pPr>
            <w:r>
              <w:rPr>
                <w:b/>
                <w:sz w:val="24"/>
              </w:rPr>
              <w:t>3.0</w:t>
            </w:r>
          </w:p>
        </w:tc>
        <w:tc>
          <w:tcPr>
            <w:tcW w:w="8900" w:type="dxa"/>
            <w:gridSpan w:val="3"/>
          </w:tcPr>
          <w:p w14:paraId="5FFB671F" w14:textId="77777777" w:rsidR="00BC7EAF" w:rsidRDefault="00C8434D">
            <w:pPr>
              <w:pStyle w:val="TableParagraph"/>
              <w:spacing w:before="127"/>
              <w:ind w:left="245"/>
              <w:rPr>
                <w:b/>
                <w:sz w:val="24"/>
              </w:rPr>
            </w:pPr>
            <w:r>
              <w:rPr>
                <w:b/>
                <w:sz w:val="24"/>
                <w:u w:val="thick"/>
              </w:rPr>
              <w:t>Matters Arising</w:t>
            </w:r>
          </w:p>
        </w:tc>
      </w:tr>
      <w:tr w:rsidR="00BC7EAF" w14:paraId="1DAA003B" w14:textId="77777777">
        <w:trPr>
          <w:trHeight w:val="825"/>
        </w:trPr>
        <w:tc>
          <w:tcPr>
            <w:tcW w:w="881" w:type="dxa"/>
          </w:tcPr>
          <w:p w14:paraId="5E40E4BD" w14:textId="77777777" w:rsidR="00BC7EAF" w:rsidRDefault="00C8434D">
            <w:pPr>
              <w:pStyle w:val="TableParagraph"/>
              <w:spacing w:before="122"/>
              <w:ind w:left="41" w:right="221"/>
              <w:jc w:val="center"/>
              <w:rPr>
                <w:sz w:val="24"/>
              </w:rPr>
            </w:pPr>
            <w:r>
              <w:rPr>
                <w:sz w:val="24"/>
              </w:rPr>
              <w:t>3.1</w:t>
            </w:r>
          </w:p>
        </w:tc>
        <w:tc>
          <w:tcPr>
            <w:tcW w:w="8900" w:type="dxa"/>
            <w:gridSpan w:val="3"/>
          </w:tcPr>
          <w:p w14:paraId="7A941301" w14:textId="77777777" w:rsidR="00BC7EAF" w:rsidRDefault="00C8434D">
            <w:pPr>
              <w:pStyle w:val="TableParagraph"/>
              <w:spacing w:before="122"/>
              <w:ind w:left="245" w:right="1429"/>
              <w:rPr>
                <w:sz w:val="24"/>
              </w:rPr>
            </w:pPr>
            <w:r>
              <w:rPr>
                <w:sz w:val="24"/>
                <w:u w:val="single"/>
              </w:rPr>
              <w:t>Benmore Botanic Garden Update on Proposals for Improvements and</w:t>
            </w:r>
            <w:r>
              <w:rPr>
                <w:sz w:val="24"/>
              </w:rPr>
              <w:t xml:space="preserve"> </w:t>
            </w:r>
            <w:r>
              <w:rPr>
                <w:sz w:val="24"/>
                <w:u w:val="single"/>
              </w:rPr>
              <w:t>Costs</w:t>
            </w:r>
          </w:p>
        </w:tc>
      </w:tr>
      <w:tr w:rsidR="00BC7EAF" w14:paraId="62D26D3B" w14:textId="77777777">
        <w:trPr>
          <w:trHeight w:val="2892"/>
        </w:trPr>
        <w:tc>
          <w:tcPr>
            <w:tcW w:w="881" w:type="dxa"/>
          </w:tcPr>
          <w:p w14:paraId="1DD79C72" w14:textId="77777777" w:rsidR="00BC7EAF" w:rsidRDefault="00BC7EAF">
            <w:pPr>
              <w:pStyle w:val="TableParagraph"/>
            </w:pPr>
          </w:p>
        </w:tc>
        <w:tc>
          <w:tcPr>
            <w:tcW w:w="8900" w:type="dxa"/>
            <w:gridSpan w:val="3"/>
          </w:tcPr>
          <w:p w14:paraId="7399800D" w14:textId="77777777" w:rsidR="00BC7EAF" w:rsidRDefault="00C8434D">
            <w:pPr>
              <w:pStyle w:val="TableParagraph"/>
              <w:spacing w:before="124" w:line="270" w:lineRule="atLeast"/>
              <w:ind w:left="245" w:right="1390"/>
              <w:jc w:val="both"/>
              <w:rPr>
                <w:sz w:val="24"/>
              </w:rPr>
            </w:pPr>
            <w:r>
              <w:rPr>
                <w:sz w:val="24"/>
              </w:rPr>
              <w:t>Following discussions at the last meeting the Director of Horticulture and Learning had been asked to provide an update on immediate improvements to visitor facilities. Essential repairs and operational improvement works  of £25k had been identified for th</w:t>
            </w:r>
            <w:r>
              <w:rPr>
                <w:sz w:val="24"/>
              </w:rPr>
              <w:t xml:space="preserve">e Café and had been planned for January 2017. </w:t>
            </w:r>
            <w:r>
              <w:rPr>
                <w:spacing w:val="-3"/>
                <w:sz w:val="24"/>
              </w:rPr>
              <w:t xml:space="preserve">If </w:t>
            </w:r>
            <w:r>
              <w:rPr>
                <w:sz w:val="24"/>
              </w:rPr>
              <w:t>funding from the in-year budget was not available  a  request would be prepared for consideration by the Botanics Foundation. A small group had been set up to consider funding support from local tourism repr</w:t>
            </w:r>
            <w:r>
              <w:rPr>
                <w:sz w:val="24"/>
              </w:rPr>
              <w:t>esentatives. The longer term proposals would maintain the profile and improve the visitor welcome. The Walled Garden had now progressed to the detailed design stage and a number of test digs were</w:t>
            </w:r>
            <w:r>
              <w:rPr>
                <w:spacing w:val="-8"/>
                <w:sz w:val="24"/>
              </w:rPr>
              <w:t xml:space="preserve"> </w:t>
            </w:r>
            <w:r>
              <w:rPr>
                <w:sz w:val="24"/>
              </w:rPr>
              <w:t>planned.</w:t>
            </w:r>
          </w:p>
        </w:tc>
      </w:tr>
    </w:tbl>
    <w:p w14:paraId="3DB549AC" w14:textId="77777777" w:rsidR="00BC7EAF" w:rsidRDefault="00BC7EAF">
      <w:pPr>
        <w:spacing w:line="270" w:lineRule="atLeast"/>
        <w:jc w:val="both"/>
        <w:rPr>
          <w:sz w:val="24"/>
        </w:rPr>
        <w:sectPr w:rsidR="00BC7EAF">
          <w:pgSz w:w="11910" w:h="16840"/>
          <w:pgMar w:top="1000" w:right="660" w:bottom="560" w:left="1100" w:header="0" w:footer="38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903"/>
        <w:gridCol w:w="7690"/>
        <w:gridCol w:w="1317"/>
      </w:tblGrid>
      <w:tr w:rsidR="00BC7EAF" w14:paraId="0C2F767E" w14:textId="77777777" w:rsidTr="00C80BF3">
        <w:trPr>
          <w:trHeight w:val="426"/>
        </w:trPr>
        <w:tc>
          <w:tcPr>
            <w:tcW w:w="903" w:type="dxa"/>
          </w:tcPr>
          <w:p w14:paraId="6ED83222" w14:textId="77777777" w:rsidR="00BC7EAF" w:rsidRDefault="00C8434D">
            <w:pPr>
              <w:pStyle w:val="TableParagraph"/>
              <w:spacing w:line="258" w:lineRule="exact"/>
              <w:ind w:left="200"/>
              <w:rPr>
                <w:sz w:val="24"/>
              </w:rPr>
            </w:pPr>
            <w:r>
              <w:rPr>
                <w:sz w:val="24"/>
                <w:u w:val="single"/>
              </w:rPr>
              <w:lastRenderedPageBreak/>
              <w:t>Item</w:t>
            </w:r>
          </w:p>
          <w:p w14:paraId="120DDD6C" w14:textId="6D993101" w:rsidR="00BC7EAF" w:rsidRDefault="00BC7EAF" w:rsidP="00C80BF3">
            <w:pPr>
              <w:pStyle w:val="TableParagraph"/>
              <w:spacing w:line="131" w:lineRule="exact"/>
              <w:rPr>
                <w:sz w:val="24"/>
              </w:rPr>
            </w:pPr>
          </w:p>
        </w:tc>
        <w:tc>
          <w:tcPr>
            <w:tcW w:w="7690" w:type="dxa"/>
          </w:tcPr>
          <w:p w14:paraId="38F440D7" w14:textId="77777777" w:rsidR="00BC7EAF" w:rsidRDefault="00C8434D">
            <w:pPr>
              <w:pStyle w:val="TableParagraph"/>
              <w:spacing w:line="258" w:lineRule="exact"/>
              <w:ind w:left="223"/>
              <w:rPr>
                <w:sz w:val="24"/>
              </w:rPr>
            </w:pPr>
            <w:r>
              <w:rPr>
                <w:sz w:val="24"/>
                <w:u w:val="single"/>
              </w:rPr>
              <w:t>Narrative &amp; Decisions</w:t>
            </w:r>
          </w:p>
          <w:p w14:paraId="762AE1F0" w14:textId="537545F5" w:rsidR="00BC7EAF" w:rsidRDefault="00BC7EAF">
            <w:pPr>
              <w:pStyle w:val="TableParagraph"/>
              <w:spacing w:line="131" w:lineRule="exact"/>
              <w:ind w:left="223"/>
              <w:rPr>
                <w:sz w:val="24"/>
              </w:rPr>
            </w:pPr>
          </w:p>
        </w:tc>
        <w:tc>
          <w:tcPr>
            <w:tcW w:w="1317" w:type="dxa"/>
          </w:tcPr>
          <w:p w14:paraId="662A9F55" w14:textId="77777777" w:rsidR="00BC7EAF" w:rsidRDefault="00C8434D">
            <w:pPr>
              <w:pStyle w:val="TableParagraph"/>
              <w:spacing w:line="258" w:lineRule="exact"/>
              <w:ind w:left="187" w:right="180"/>
              <w:jc w:val="center"/>
              <w:rPr>
                <w:sz w:val="24"/>
              </w:rPr>
            </w:pPr>
            <w:r>
              <w:rPr>
                <w:sz w:val="24"/>
                <w:u w:val="single"/>
              </w:rPr>
              <w:t>Action</w:t>
            </w:r>
          </w:p>
        </w:tc>
      </w:tr>
      <w:tr w:rsidR="00BC7EAF" w14:paraId="14A2628F" w14:textId="77777777">
        <w:trPr>
          <w:trHeight w:val="5519"/>
        </w:trPr>
        <w:tc>
          <w:tcPr>
            <w:tcW w:w="903" w:type="dxa"/>
          </w:tcPr>
          <w:p w14:paraId="4E25AC5B" w14:textId="3C437454" w:rsidR="00BC7EAF" w:rsidRPr="00C80BF3" w:rsidRDefault="00C80BF3">
            <w:pPr>
              <w:pStyle w:val="TableParagraph"/>
              <w:rPr>
                <w:sz w:val="24"/>
                <w:szCs w:val="24"/>
              </w:rPr>
            </w:pPr>
            <w:r>
              <w:rPr>
                <w:sz w:val="24"/>
                <w:szCs w:val="24"/>
              </w:rPr>
              <w:t xml:space="preserve">  3.2</w:t>
            </w:r>
          </w:p>
          <w:p w14:paraId="16520A0F" w14:textId="77777777" w:rsidR="00BC7EAF" w:rsidRDefault="00BC7EAF">
            <w:pPr>
              <w:pStyle w:val="TableParagraph"/>
              <w:rPr>
                <w:sz w:val="26"/>
              </w:rPr>
            </w:pPr>
          </w:p>
          <w:p w14:paraId="6458A39C" w14:textId="77777777" w:rsidR="00BC7EAF" w:rsidRDefault="00BC7EAF">
            <w:pPr>
              <w:pStyle w:val="TableParagraph"/>
              <w:rPr>
                <w:sz w:val="26"/>
              </w:rPr>
            </w:pPr>
          </w:p>
          <w:p w14:paraId="3789806C" w14:textId="77777777" w:rsidR="00BC7EAF" w:rsidRDefault="00BC7EAF">
            <w:pPr>
              <w:pStyle w:val="TableParagraph"/>
              <w:rPr>
                <w:sz w:val="26"/>
              </w:rPr>
            </w:pPr>
          </w:p>
          <w:p w14:paraId="31108687" w14:textId="77777777" w:rsidR="00BC7EAF" w:rsidRDefault="00BC7EAF">
            <w:pPr>
              <w:pStyle w:val="TableParagraph"/>
              <w:rPr>
                <w:sz w:val="26"/>
              </w:rPr>
            </w:pPr>
          </w:p>
          <w:p w14:paraId="6205B3F8" w14:textId="77777777" w:rsidR="00BC7EAF" w:rsidRDefault="00BC7EAF">
            <w:pPr>
              <w:pStyle w:val="TableParagraph"/>
              <w:rPr>
                <w:sz w:val="26"/>
              </w:rPr>
            </w:pPr>
          </w:p>
          <w:p w14:paraId="0FD62383" w14:textId="77777777" w:rsidR="00BC7EAF" w:rsidRDefault="00BC7EAF">
            <w:pPr>
              <w:pStyle w:val="TableParagraph"/>
              <w:rPr>
                <w:sz w:val="26"/>
              </w:rPr>
            </w:pPr>
          </w:p>
          <w:p w14:paraId="251D1A14" w14:textId="77777777" w:rsidR="00BC7EAF" w:rsidRDefault="00BC7EAF">
            <w:pPr>
              <w:pStyle w:val="TableParagraph"/>
              <w:rPr>
                <w:sz w:val="26"/>
              </w:rPr>
            </w:pPr>
          </w:p>
          <w:p w14:paraId="687E41A9" w14:textId="0374E942" w:rsidR="00BC7EAF" w:rsidRDefault="00BC7EAF">
            <w:pPr>
              <w:pStyle w:val="TableParagraph"/>
              <w:rPr>
                <w:sz w:val="26"/>
              </w:rPr>
            </w:pPr>
          </w:p>
          <w:p w14:paraId="1999CF7D" w14:textId="77777777" w:rsidR="00C80BF3" w:rsidRDefault="00C80BF3">
            <w:pPr>
              <w:pStyle w:val="TableParagraph"/>
              <w:rPr>
                <w:sz w:val="26"/>
              </w:rPr>
            </w:pPr>
          </w:p>
          <w:p w14:paraId="4EA9ECC6" w14:textId="7595A90B" w:rsidR="00BC7EAF" w:rsidRDefault="00BC7EAF">
            <w:pPr>
              <w:pStyle w:val="TableParagraph"/>
              <w:spacing w:before="9"/>
              <w:rPr>
                <w:sz w:val="38"/>
              </w:rPr>
            </w:pPr>
          </w:p>
          <w:p w14:paraId="67ED55D9" w14:textId="73148740" w:rsidR="00BC7EAF" w:rsidRDefault="00C80BF3" w:rsidP="00C80BF3">
            <w:pPr>
              <w:pStyle w:val="TableParagraph"/>
              <w:spacing w:before="160"/>
              <w:rPr>
                <w:sz w:val="24"/>
              </w:rPr>
            </w:pPr>
            <w:r>
              <w:rPr>
                <w:sz w:val="24"/>
              </w:rPr>
              <w:t xml:space="preserve">   </w:t>
            </w:r>
            <w:r w:rsidR="00C8434D">
              <w:rPr>
                <w:sz w:val="24"/>
              </w:rPr>
              <w:t>3.3</w:t>
            </w:r>
          </w:p>
          <w:p w14:paraId="17035195" w14:textId="77777777" w:rsidR="00BC7EAF" w:rsidRDefault="00BC7EAF">
            <w:pPr>
              <w:pStyle w:val="TableParagraph"/>
              <w:rPr>
                <w:sz w:val="26"/>
              </w:rPr>
            </w:pPr>
          </w:p>
          <w:p w14:paraId="755D7C3F" w14:textId="77777777" w:rsidR="00BC7EAF" w:rsidRDefault="00BC7EAF">
            <w:pPr>
              <w:pStyle w:val="TableParagraph"/>
              <w:rPr>
                <w:sz w:val="26"/>
              </w:rPr>
            </w:pPr>
          </w:p>
          <w:p w14:paraId="1E7462CB" w14:textId="77777777" w:rsidR="00BC7EAF" w:rsidRDefault="00C8434D">
            <w:pPr>
              <w:pStyle w:val="TableParagraph"/>
              <w:spacing w:before="230"/>
              <w:ind w:left="200"/>
              <w:rPr>
                <w:sz w:val="24"/>
              </w:rPr>
            </w:pPr>
            <w:r>
              <w:rPr>
                <w:sz w:val="24"/>
              </w:rPr>
              <w:t>3.4</w:t>
            </w:r>
          </w:p>
          <w:p w14:paraId="71FEBA6B" w14:textId="77777777" w:rsidR="00BC7EAF" w:rsidRDefault="00BC7EAF">
            <w:pPr>
              <w:pStyle w:val="TableParagraph"/>
              <w:rPr>
                <w:sz w:val="24"/>
              </w:rPr>
            </w:pPr>
          </w:p>
          <w:p w14:paraId="54428F4F" w14:textId="77777777" w:rsidR="00BC7EAF" w:rsidRDefault="00C8434D">
            <w:pPr>
              <w:pStyle w:val="TableParagraph"/>
              <w:ind w:left="200"/>
              <w:rPr>
                <w:sz w:val="24"/>
              </w:rPr>
            </w:pPr>
            <w:r>
              <w:rPr>
                <w:sz w:val="24"/>
              </w:rPr>
              <w:t>3.4.1</w:t>
            </w:r>
          </w:p>
        </w:tc>
        <w:tc>
          <w:tcPr>
            <w:tcW w:w="7690" w:type="dxa"/>
            <w:vMerge w:val="restart"/>
          </w:tcPr>
          <w:p w14:paraId="2CFFD206" w14:textId="74FAC570" w:rsidR="00C80BF3" w:rsidRPr="00C80BF3" w:rsidRDefault="00C80BF3">
            <w:pPr>
              <w:pStyle w:val="TableParagraph"/>
              <w:ind w:left="223" w:right="205"/>
              <w:jc w:val="both"/>
              <w:rPr>
                <w:sz w:val="24"/>
                <w:u w:val="single"/>
              </w:rPr>
            </w:pPr>
            <w:r w:rsidRPr="00C80BF3">
              <w:rPr>
                <w:sz w:val="24"/>
                <w:u w:val="single"/>
              </w:rPr>
              <w:t>Board of Trustees’ Committee Vacancies</w:t>
            </w:r>
          </w:p>
          <w:p w14:paraId="57C61244" w14:textId="77777777" w:rsidR="00C80BF3" w:rsidRDefault="00C80BF3">
            <w:pPr>
              <w:pStyle w:val="TableParagraph"/>
              <w:ind w:left="223" w:right="205"/>
              <w:jc w:val="both"/>
              <w:rPr>
                <w:sz w:val="24"/>
              </w:rPr>
            </w:pPr>
          </w:p>
          <w:p w14:paraId="1BA124B4" w14:textId="6D28F82F" w:rsidR="00BC7EAF" w:rsidRDefault="00C8434D">
            <w:pPr>
              <w:pStyle w:val="TableParagraph"/>
              <w:ind w:left="223" w:right="205"/>
              <w:jc w:val="both"/>
              <w:rPr>
                <w:sz w:val="24"/>
              </w:rPr>
            </w:pPr>
            <w:r>
              <w:rPr>
                <w:sz w:val="24"/>
              </w:rPr>
              <w:t>Due to the changes to the role and structure of the Botanics Foundation, the number of Trustees on the Foundation would increase but would continue to include two Board of Trustee representatives. It was proposed that there would be one Investment Committe</w:t>
            </w:r>
            <w:r>
              <w:rPr>
                <w:sz w:val="24"/>
              </w:rPr>
              <w:t>e to advise both the RBGE and the Botanics Foundation in the future. It was agreed that Prof Ian Wall would continue to Chair the Investment Committee and other Trustees could attend if required. There would be a requirement for a new Chair of the Botanics</w:t>
            </w:r>
            <w:r>
              <w:rPr>
                <w:sz w:val="24"/>
              </w:rPr>
              <w:t xml:space="preserve"> Foundation following the end of term of office of the current Chair in November 2016. Mrs Diana Murray agreed to join the Botanics Foundation as a Board of Trustees’ representative.</w:t>
            </w:r>
          </w:p>
          <w:p w14:paraId="1009BEEC" w14:textId="77777777" w:rsidR="00BC7EAF" w:rsidRDefault="00BC7EAF">
            <w:pPr>
              <w:pStyle w:val="TableParagraph"/>
              <w:rPr>
                <w:sz w:val="24"/>
              </w:rPr>
            </w:pPr>
          </w:p>
          <w:p w14:paraId="60EE19AE" w14:textId="77777777" w:rsidR="00BC7EAF" w:rsidRDefault="00C8434D">
            <w:pPr>
              <w:pStyle w:val="TableParagraph"/>
              <w:spacing w:before="1"/>
              <w:ind w:left="223"/>
              <w:jc w:val="both"/>
              <w:rPr>
                <w:sz w:val="24"/>
              </w:rPr>
            </w:pPr>
            <w:r>
              <w:rPr>
                <w:sz w:val="24"/>
                <w:u w:val="single"/>
              </w:rPr>
              <w:t>Audit Committee</w:t>
            </w:r>
          </w:p>
          <w:p w14:paraId="295C2006" w14:textId="77777777" w:rsidR="00BC7EAF" w:rsidRDefault="00BC7EAF">
            <w:pPr>
              <w:pStyle w:val="TableParagraph"/>
              <w:spacing w:before="11"/>
              <w:rPr>
                <w:sz w:val="23"/>
              </w:rPr>
            </w:pPr>
          </w:p>
          <w:p w14:paraId="4E454AAA" w14:textId="77777777" w:rsidR="00BC7EAF" w:rsidRDefault="00C8434D">
            <w:pPr>
              <w:pStyle w:val="TableParagraph"/>
              <w:ind w:left="223"/>
              <w:jc w:val="both"/>
              <w:rPr>
                <w:sz w:val="24"/>
              </w:rPr>
            </w:pPr>
            <w:r>
              <w:rPr>
                <w:sz w:val="24"/>
              </w:rPr>
              <w:t>Mrs Patricia Henton had agreed to join the Audit Committee.</w:t>
            </w:r>
          </w:p>
          <w:p w14:paraId="534E3658" w14:textId="77777777" w:rsidR="00BC7EAF" w:rsidRDefault="00BC7EAF">
            <w:pPr>
              <w:pStyle w:val="TableParagraph"/>
              <w:rPr>
                <w:sz w:val="24"/>
              </w:rPr>
            </w:pPr>
          </w:p>
          <w:p w14:paraId="7A87BEF5" w14:textId="77777777" w:rsidR="00BC7EAF" w:rsidRDefault="00C8434D">
            <w:pPr>
              <w:pStyle w:val="TableParagraph"/>
              <w:ind w:left="223"/>
              <w:jc w:val="both"/>
              <w:rPr>
                <w:sz w:val="24"/>
              </w:rPr>
            </w:pPr>
            <w:r>
              <w:rPr>
                <w:b/>
                <w:sz w:val="24"/>
                <w:u w:val="thick"/>
              </w:rPr>
              <w:t>Decision</w:t>
            </w:r>
            <w:r>
              <w:rPr>
                <w:b/>
                <w:sz w:val="24"/>
              </w:rPr>
              <w:t xml:space="preserve">. </w:t>
            </w:r>
            <w:r>
              <w:rPr>
                <w:sz w:val="24"/>
              </w:rPr>
              <w:t>It was agreed that:</w:t>
            </w:r>
          </w:p>
          <w:p w14:paraId="44B5B9E9" w14:textId="77777777" w:rsidR="00BC7EAF" w:rsidRDefault="00BC7EAF">
            <w:pPr>
              <w:pStyle w:val="TableParagraph"/>
              <w:rPr>
                <w:sz w:val="24"/>
              </w:rPr>
            </w:pPr>
          </w:p>
          <w:p w14:paraId="0AA9F1B2" w14:textId="77777777" w:rsidR="00BC7EAF" w:rsidRDefault="00C8434D">
            <w:pPr>
              <w:pStyle w:val="TableParagraph"/>
              <w:ind w:left="223"/>
              <w:jc w:val="both"/>
              <w:rPr>
                <w:sz w:val="24"/>
              </w:rPr>
            </w:pPr>
            <w:r>
              <w:rPr>
                <w:sz w:val="24"/>
                <w:u w:val="single"/>
              </w:rPr>
              <w:t>Board of Trustees’ Committee Vacancies</w:t>
            </w:r>
          </w:p>
          <w:p w14:paraId="34A9E92B" w14:textId="77777777" w:rsidR="00BC7EAF" w:rsidRDefault="00BC7EAF">
            <w:pPr>
              <w:pStyle w:val="TableParagraph"/>
              <w:rPr>
                <w:sz w:val="24"/>
              </w:rPr>
            </w:pPr>
          </w:p>
          <w:p w14:paraId="7562F69A" w14:textId="77777777" w:rsidR="00BC7EAF" w:rsidRDefault="00C8434D">
            <w:pPr>
              <w:pStyle w:val="TableParagraph"/>
              <w:ind w:left="223" w:right="207"/>
              <w:jc w:val="both"/>
              <w:rPr>
                <w:sz w:val="24"/>
              </w:rPr>
            </w:pPr>
            <w:r>
              <w:rPr>
                <w:sz w:val="24"/>
              </w:rPr>
              <w:t>The Secretary would advise the Chair of the Botanics Foundation that Mrs Murray would join as a Board of Trustees’ represent</w:t>
            </w:r>
            <w:r>
              <w:rPr>
                <w:sz w:val="24"/>
              </w:rPr>
              <w:t>ative.</w:t>
            </w:r>
          </w:p>
        </w:tc>
        <w:tc>
          <w:tcPr>
            <w:tcW w:w="1317" w:type="dxa"/>
          </w:tcPr>
          <w:p w14:paraId="709B65EF" w14:textId="77777777" w:rsidR="00BC7EAF" w:rsidRDefault="00BC7EAF">
            <w:pPr>
              <w:pStyle w:val="TableParagraph"/>
            </w:pPr>
          </w:p>
        </w:tc>
      </w:tr>
      <w:tr w:rsidR="00BC7EAF" w14:paraId="6B1C40A3" w14:textId="77777777">
        <w:trPr>
          <w:trHeight w:val="830"/>
        </w:trPr>
        <w:tc>
          <w:tcPr>
            <w:tcW w:w="903" w:type="dxa"/>
          </w:tcPr>
          <w:p w14:paraId="34ABCE9C" w14:textId="77777777" w:rsidR="00BC7EAF" w:rsidRDefault="00BC7EAF">
            <w:pPr>
              <w:pStyle w:val="TableParagraph"/>
            </w:pPr>
          </w:p>
        </w:tc>
        <w:tc>
          <w:tcPr>
            <w:tcW w:w="7690" w:type="dxa"/>
            <w:vMerge/>
            <w:tcBorders>
              <w:top w:val="nil"/>
            </w:tcBorders>
          </w:tcPr>
          <w:p w14:paraId="3E21F52A" w14:textId="77777777" w:rsidR="00BC7EAF" w:rsidRDefault="00BC7EAF">
            <w:pPr>
              <w:rPr>
                <w:sz w:val="2"/>
                <w:szCs w:val="2"/>
              </w:rPr>
            </w:pPr>
          </w:p>
        </w:tc>
        <w:tc>
          <w:tcPr>
            <w:tcW w:w="1317" w:type="dxa"/>
          </w:tcPr>
          <w:p w14:paraId="37C71277" w14:textId="77777777" w:rsidR="00BC7EAF" w:rsidRDefault="00C8434D" w:rsidP="00C80BF3">
            <w:pPr>
              <w:pStyle w:val="TableParagraph"/>
              <w:spacing w:before="240"/>
              <w:ind w:left="187" w:right="181"/>
              <w:jc w:val="center"/>
              <w:rPr>
                <w:sz w:val="24"/>
              </w:rPr>
            </w:pPr>
            <w:r>
              <w:rPr>
                <w:sz w:val="24"/>
              </w:rPr>
              <w:t>Secretary</w:t>
            </w:r>
          </w:p>
        </w:tc>
      </w:tr>
      <w:tr w:rsidR="00BC7EAF" w14:paraId="21C9B1AE" w14:textId="77777777">
        <w:trPr>
          <w:trHeight w:val="7580"/>
        </w:trPr>
        <w:tc>
          <w:tcPr>
            <w:tcW w:w="903" w:type="dxa"/>
          </w:tcPr>
          <w:p w14:paraId="35E88C26" w14:textId="77777777" w:rsidR="00BC7EAF" w:rsidRDefault="00C8434D">
            <w:pPr>
              <w:pStyle w:val="TableParagraph"/>
              <w:spacing w:before="127"/>
              <w:ind w:left="200"/>
              <w:rPr>
                <w:b/>
                <w:sz w:val="24"/>
              </w:rPr>
            </w:pPr>
            <w:r>
              <w:rPr>
                <w:b/>
                <w:sz w:val="24"/>
              </w:rPr>
              <w:t>4.0</w:t>
            </w:r>
          </w:p>
          <w:p w14:paraId="35556D0A" w14:textId="77777777" w:rsidR="00BC7EAF" w:rsidRDefault="00BC7EAF">
            <w:pPr>
              <w:pStyle w:val="TableParagraph"/>
              <w:spacing w:before="6"/>
              <w:rPr>
                <w:sz w:val="23"/>
              </w:rPr>
            </w:pPr>
          </w:p>
          <w:p w14:paraId="2944ED4E" w14:textId="77777777" w:rsidR="00BC7EAF" w:rsidRDefault="00C8434D">
            <w:pPr>
              <w:pStyle w:val="TableParagraph"/>
              <w:ind w:left="200"/>
              <w:rPr>
                <w:sz w:val="24"/>
              </w:rPr>
            </w:pPr>
            <w:r>
              <w:rPr>
                <w:sz w:val="24"/>
              </w:rPr>
              <w:t>4.1</w:t>
            </w:r>
          </w:p>
        </w:tc>
        <w:tc>
          <w:tcPr>
            <w:tcW w:w="7690" w:type="dxa"/>
          </w:tcPr>
          <w:p w14:paraId="5450868D" w14:textId="77777777" w:rsidR="00BC7EAF" w:rsidRDefault="00C8434D">
            <w:pPr>
              <w:pStyle w:val="TableParagraph"/>
              <w:spacing w:before="127"/>
              <w:ind w:left="223"/>
              <w:rPr>
                <w:b/>
                <w:sz w:val="24"/>
              </w:rPr>
            </w:pPr>
            <w:r>
              <w:rPr>
                <w:b/>
                <w:sz w:val="24"/>
                <w:u w:val="thick"/>
              </w:rPr>
              <w:t>Regius Keeper’s Report</w:t>
            </w:r>
          </w:p>
          <w:p w14:paraId="3046B86C" w14:textId="77777777" w:rsidR="00BC7EAF" w:rsidRDefault="00BC7EAF">
            <w:pPr>
              <w:pStyle w:val="TableParagraph"/>
              <w:spacing w:before="6"/>
              <w:rPr>
                <w:sz w:val="23"/>
              </w:rPr>
            </w:pPr>
          </w:p>
          <w:p w14:paraId="241DE1F9" w14:textId="77777777" w:rsidR="00BC7EAF" w:rsidRDefault="00C8434D">
            <w:pPr>
              <w:pStyle w:val="TableParagraph"/>
              <w:ind w:left="223"/>
              <w:rPr>
                <w:sz w:val="24"/>
              </w:rPr>
            </w:pPr>
            <w:r>
              <w:rPr>
                <w:sz w:val="24"/>
              </w:rPr>
              <w:t>The Regius Keeper presented his quarterly report and highlighted the following items.</w:t>
            </w:r>
          </w:p>
          <w:p w14:paraId="2972E606" w14:textId="77777777" w:rsidR="00BC7EAF" w:rsidRDefault="00BC7EAF">
            <w:pPr>
              <w:pStyle w:val="TableParagraph"/>
              <w:rPr>
                <w:sz w:val="24"/>
              </w:rPr>
            </w:pPr>
          </w:p>
          <w:p w14:paraId="37EF427B" w14:textId="77777777" w:rsidR="00BC7EAF" w:rsidRDefault="00C8434D">
            <w:pPr>
              <w:pStyle w:val="TableParagraph"/>
              <w:numPr>
                <w:ilvl w:val="0"/>
                <w:numId w:val="5"/>
              </w:numPr>
              <w:tabs>
                <w:tab w:val="left" w:pos="943"/>
                <w:tab w:val="left" w:pos="944"/>
              </w:tabs>
              <w:spacing w:before="1"/>
              <w:ind w:hanging="361"/>
              <w:rPr>
                <w:sz w:val="24"/>
              </w:rPr>
            </w:pPr>
            <w:r>
              <w:rPr>
                <w:sz w:val="24"/>
              </w:rPr>
              <w:t>The RBGE had achieved the Athena SWAN Bronze</w:t>
            </w:r>
            <w:r>
              <w:rPr>
                <w:spacing w:val="-9"/>
                <w:sz w:val="24"/>
              </w:rPr>
              <w:t xml:space="preserve"> </w:t>
            </w:r>
            <w:r>
              <w:rPr>
                <w:sz w:val="24"/>
              </w:rPr>
              <w:t>Award.</w:t>
            </w:r>
          </w:p>
          <w:p w14:paraId="70D63B67" w14:textId="77777777" w:rsidR="00BC7EAF" w:rsidRDefault="00BC7EAF">
            <w:pPr>
              <w:pStyle w:val="TableParagraph"/>
              <w:spacing w:before="11"/>
              <w:rPr>
                <w:sz w:val="23"/>
              </w:rPr>
            </w:pPr>
          </w:p>
          <w:p w14:paraId="65B1CCA3" w14:textId="77777777" w:rsidR="00BC7EAF" w:rsidRDefault="00C8434D">
            <w:pPr>
              <w:pStyle w:val="TableParagraph"/>
              <w:numPr>
                <w:ilvl w:val="0"/>
                <w:numId w:val="5"/>
              </w:numPr>
              <w:tabs>
                <w:tab w:val="left" w:pos="944"/>
              </w:tabs>
              <w:ind w:right="206"/>
              <w:jc w:val="both"/>
              <w:rPr>
                <w:sz w:val="24"/>
              </w:rPr>
            </w:pPr>
            <w:r>
              <w:rPr>
                <w:sz w:val="24"/>
              </w:rPr>
              <w:t>A successful joint expedition to Nepal for seed collection and capacity building had been achieved. Science and  Horticulture Staff had worked together with colleagues in Nepalese organisations collecting material for the National Botanic Garden of Nepal a</w:t>
            </w:r>
            <w:r>
              <w:rPr>
                <w:sz w:val="24"/>
              </w:rPr>
              <w:t>nd the RBGE and completing and opening the new Biodiversity Education Garden near Kathmandu. The Regius Keeper had met with the President of Nepal, Nepalese Ministers and the British Ambassador to Nepal, cementing the productive relationship between RBGE a</w:t>
            </w:r>
            <w:r>
              <w:rPr>
                <w:sz w:val="24"/>
              </w:rPr>
              <w:t>nd the Government of Nepal. Nepal was also the subject of the talk to the Patrons of the RBGE at their annual</w:t>
            </w:r>
            <w:r>
              <w:rPr>
                <w:spacing w:val="-1"/>
                <w:sz w:val="24"/>
              </w:rPr>
              <w:t xml:space="preserve"> </w:t>
            </w:r>
            <w:r>
              <w:rPr>
                <w:sz w:val="24"/>
              </w:rPr>
              <w:t>dinner.</w:t>
            </w:r>
          </w:p>
          <w:p w14:paraId="71046A8B" w14:textId="77777777" w:rsidR="00BC7EAF" w:rsidRDefault="00BC7EAF">
            <w:pPr>
              <w:pStyle w:val="TableParagraph"/>
              <w:rPr>
                <w:sz w:val="24"/>
              </w:rPr>
            </w:pPr>
          </w:p>
          <w:p w14:paraId="517854D3" w14:textId="77777777" w:rsidR="00BC7EAF" w:rsidRDefault="00C8434D">
            <w:pPr>
              <w:pStyle w:val="TableParagraph"/>
              <w:numPr>
                <w:ilvl w:val="0"/>
                <w:numId w:val="5"/>
              </w:numPr>
              <w:tabs>
                <w:tab w:val="left" w:pos="944"/>
              </w:tabs>
              <w:ind w:right="207"/>
              <w:jc w:val="both"/>
              <w:rPr>
                <w:sz w:val="24"/>
              </w:rPr>
            </w:pPr>
            <w:proofErr w:type="spellStart"/>
            <w:r>
              <w:rPr>
                <w:sz w:val="24"/>
              </w:rPr>
              <w:t>Tiina</w:t>
            </w:r>
            <w:proofErr w:type="spellEnd"/>
            <w:r>
              <w:rPr>
                <w:sz w:val="24"/>
              </w:rPr>
              <w:t xml:space="preserve"> </w:t>
            </w:r>
            <w:proofErr w:type="spellStart"/>
            <w:r>
              <w:rPr>
                <w:sz w:val="24"/>
              </w:rPr>
              <w:t>Sarkinen</w:t>
            </w:r>
            <w:proofErr w:type="spellEnd"/>
            <w:r>
              <w:rPr>
                <w:sz w:val="24"/>
              </w:rPr>
              <w:t xml:space="preserve"> and her co-authors had been awarded the prestigious Stebbins</w:t>
            </w:r>
            <w:r>
              <w:rPr>
                <w:spacing w:val="-1"/>
                <w:sz w:val="24"/>
              </w:rPr>
              <w:t xml:space="preserve"> </w:t>
            </w:r>
            <w:r>
              <w:rPr>
                <w:sz w:val="24"/>
              </w:rPr>
              <w:t>Award.</w:t>
            </w:r>
          </w:p>
          <w:p w14:paraId="105B0616" w14:textId="77777777" w:rsidR="00BC7EAF" w:rsidRDefault="00BC7EAF">
            <w:pPr>
              <w:pStyle w:val="TableParagraph"/>
              <w:rPr>
                <w:sz w:val="24"/>
              </w:rPr>
            </w:pPr>
          </w:p>
          <w:p w14:paraId="0F052EE5" w14:textId="77777777" w:rsidR="00BC7EAF" w:rsidRDefault="00C8434D">
            <w:pPr>
              <w:pStyle w:val="TableParagraph"/>
              <w:numPr>
                <w:ilvl w:val="0"/>
                <w:numId w:val="5"/>
              </w:numPr>
              <w:tabs>
                <w:tab w:val="left" w:pos="944"/>
              </w:tabs>
              <w:ind w:right="205"/>
              <w:jc w:val="both"/>
              <w:rPr>
                <w:sz w:val="24"/>
              </w:rPr>
            </w:pPr>
            <w:r>
              <w:rPr>
                <w:sz w:val="24"/>
              </w:rPr>
              <w:t xml:space="preserve">Logan Botanic Garden had been selected for the final </w:t>
            </w:r>
            <w:r>
              <w:rPr>
                <w:sz w:val="24"/>
              </w:rPr>
              <w:t>in the “best visitor attraction” category of the Scottish Thistle</w:t>
            </w:r>
            <w:r>
              <w:rPr>
                <w:spacing w:val="-11"/>
                <w:sz w:val="24"/>
              </w:rPr>
              <w:t xml:space="preserve"> </w:t>
            </w:r>
            <w:r>
              <w:rPr>
                <w:sz w:val="24"/>
              </w:rPr>
              <w:t>Awards.</w:t>
            </w:r>
          </w:p>
          <w:p w14:paraId="54E4C3CF" w14:textId="77777777" w:rsidR="00BC7EAF" w:rsidRDefault="00BC7EAF">
            <w:pPr>
              <w:pStyle w:val="TableParagraph"/>
              <w:spacing w:before="5"/>
              <w:rPr>
                <w:sz w:val="24"/>
              </w:rPr>
            </w:pPr>
          </w:p>
          <w:p w14:paraId="6738B403" w14:textId="77777777" w:rsidR="00BC7EAF" w:rsidRDefault="00C8434D">
            <w:pPr>
              <w:pStyle w:val="TableParagraph"/>
              <w:numPr>
                <w:ilvl w:val="0"/>
                <w:numId w:val="5"/>
              </w:numPr>
              <w:tabs>
                <w:tab w:val="left" w:pos="944"/>
              </w:tabs>
              <w:spacing w:line="274" w:lineRule="exact"/>
              <w:ind w:right="206"/>
              <w:jc w:val="both"/>
              <w:rPr>
                <w:sz w:val="24"/>
              </w:rPr>
            </w:pPr>
            <w:r>
              <w:rPr>
                <w:sz w:val="24"/>
              </w:rPr>
              <w:t>The Scottish Government had agreed to fund the installation of a mains water supply at Benmore Botanic</w:t>
            </w:r>
            <w:r>
              <w:rPr>
                <w:spacing w:val="-7"/>
                <w:sz w:val="24"/>
              </w:rPr>
              <w:t xml:space="preserve"> </w:t>
            </w:r>
            <w:r>
              <w:rPr>
                <w:sz w:val="24"/>
              </w:rPr>
              <w:t>Garden.</w:t>
            </w:r>
          </w:p>
        </w:tc>
        <w:tc>
          <w:tcPr>
            <w:tcW w:w="1317" w:type="dxa"/>
          </w:tcPr>
          <w:p w14:paraId="055ED2CD" w14:textId="77777777" w:rsidR="00BC7EAF" w:rsidRDefault="00BC7EAF">
            <w:pPr>
              <w:pStyle w:val="TableParagraph"/>
            </w:pPr>
          </w:p>
        </w:tc>
      </w:tr>
    </w:tbl>
    <w:p w14:paraId="51B22452" w14:textId="77777777" w:rsidR="00BC7EAF" w:rsidRDefault="00BC7EAF">
      <w:pPr>
        <w:sectPr w:rsidR="00BC7EAF">
          <w:pgSz w:w="11910" w:h="16840"/>
          <w:pgMar w:top="1000" w:right="660" w:bottom="560" w:left="1100" w:header="0" w:footer="380" w:gutter="0"/>
          <w:cols w:space="720"/>
        </w:sectPr>
      </w:pPr>
    </w:p>
    <w:p w14:paraId="3A283BE6" w14:textId="77777777" w:rsidR="00BC7EAF" w:rsidRDefault="00C8434D">
      <w:pPr>
        <w:pStyle w:val="BodyText"/>
        <w:tabs>
          <w:tab w:val="left" w:pos="1242"/>
          <w:tab w:val="left" w:pos="9044"/>
        </w:tabs>
        <w:spacing w:before="61"/>
        <w:ind w:left="315"/>
      </w:pPr>
      <w:r>
        <w:rPr>
          <w:u w:val="single"/>
        </w:rPr>
        <w:lastRenderedPageBreak/>
        <w:t>Item</w:t>
      </w:r>
      <w:r>
        <w:tab/>
      </w:r>
      <w:r>
        <w:rPr>
          <w:u w:val="single"/>
        </w:rPr>
        <w:t>Narrative</w:t>
      </w:r>
      <w:r>
        <w:rPr>
          <w:spacing w:val="-3"/>
          <w:u w:val="single"/>
        </w:rPr>
        <w:t xml:space="preserve"> </w:t>
      </w:r>
      <w:r>
        <w:rPr>
          <w:u w:val="single"/>
        </w:rPr>
        <w:t>&amp;</w:t>
      </w:r>
      <w:r>
        <w:rPr>
          <w:spacing w:val="-1"/>
          <w:u w:val="single"/>
        </w:rPr>
        <w:t xml:space="preserve"> </w:t>
      </w:r>
      <w:r>
        <w:rPr>
          <w:u w:val="single"/>
        </w:rPr>
        <w:t>Decisions</w:t>
      </w:r>
      <w:r>
        <w:tab/>
      </w:r>
      <w:r>
        <w:rPr>
          <w:u w:val="single"/>
        </w:rPr>
        <w:t>Action</w:t>
      </w:r>
    </w:p>
    <w:p w14:paraId="348EC5CA" w14:textId="77777777" w:rsidR="00BC7EAF" w:rsidRDefault="00BC7EAF">
      <w:pPr>
        <w:pStyle w:val="BodyText"/>
        <w:rPr>
          <w:sz w:val="16"/>
        </w:rPr>
      </w:pPr>
    </w:p>
    <w:p w14:paraId="6446AB0D" w14:textId="77777777" w:rsidR="00BC7EAF" w:rsidRDefault="00C8434D">
      <w:pPr>
        <w:pStyle w:val="ListParagraph"/>
        <w:numPr>
          <w:ilvl w:val="0"/>
          <w:numId w:val="4"/>
        </w:numPr>
        <w:tabs>
          <w:tab w:val="left" w:pos="1962"/>
          <w:tab w:val="left" w:pos="1963"/>
        </w:tabs>
        <w:spacing w:before="92"/>
        <w:ind w:hanging="361"/>
        <w:rPr>
          <w:sz w:val="24"/>
        </w:rPr>
      </w:pPr>
      <w:r>
        <w:rPr>
          <w:sz w:val="24"/>
        </w:rPr>
        <w:t>The Public Open Meeting had been postponed until the New</w:t>
      </w:r>
      <w:r>
        <w:rPr>
          <w:spacing w:val="-9"/>
          <w:sz w:val="24"/>
        </w:rPr>
        <w:t xml:space="preserve"> </w:t>
      </w:r>
      <w:r>
        <w:rPr>
          <w:sz w:val="24"/>
        </w:rPr>
        <w:t>Year.</w:t>
      </w:r>
    </w:p>
    <w:p w14:paraId="061CF54E" w14:textId="77777777" w:rsidR="00BC7EAF" w:rsidRDefault="00BC7EAF">
      <w:pPr>
        <w:pStyle w:val="BodyText"/>
        <w:spacing w:before="8"/>
        <w:rPr>
          <w:sz w:val="22"/>
        </w:rPr>
      </w:pPr>
    </w:p>
    <w:p w14:paraId="1FFB742D" w14:textId="77777777" w:rsidR="00BC7EAF" w:rsidRDefault="00C8434D">
      <w:pPr>
        <w:pStyle w:val="ListParagraph"/>
        <w:numPr>
          <w:ilvl w:val="0"/>
          <w:numId w:val="4"/>
        </w:numPr>
        <w:tabs>
          <w:tab w:val="left" w:pos="1962"/>
          <w:tab w:val="left" w:pos="1963"/>
        </w:tabs>
        <w:ind w:right="1644"/>
        <w:rPr>
          <w:sz w:val="24"/>
        </w:rPr>
      </w:pPr>
      <w:r>
        <w:rPr>
          <w:sz w:val="24"/>
        </w:rPr>
        <w:t>A successful 10</w:t>
      </w:r>
      <w:proofErr w:type="spellStart"/>
      <w:r>
        <w:rPr>
          <w:position w:val="9"/>
          <w:sz w:val="16"/>
        </w:rPr>
        <w:t>th</w:t>
      </w:r>
      <w:proofErr w:type="spellEnd"/>
      <w:r>
        <w:rPr>
          <w:position w:val="9"/>
          <w:sz w:val="16"/>
        </w:rPr>
        <w:t xml:space="preserve"> </w:t>
      </w:r>
      <w:r>
        <w:rPr>
          <w:sz w:val="24"/>
        </w:rPr>
        <w:t xml:space="preserve">Flora </w:t>
      </w:r>
      <w:proofErr w:type="spellStart"/>
      <w:r>
        <w:rPr>
          <w:sz w:val="24"/>
        </w:rPr>
        <w:t>Malesiana</w:t>
      </w:r>
      <w:proofErr w:type="spellEnd"/>
      <w:r>
        <w:rPr>
          <w:sz w:val="24"/>
        </w:rPr>
        <w:t xml:space="preserve"> Symposium had been held and good feedback</w:t>
      </w:r>
      <w:r>
        <w:rPr>
          <w:spacing w:val="-1"/>
          <w:sz w:val="24"/>
        </w:rPr>
        <w:t xml:space="preserve"> </w:t>
      </w:r>
      <w:r>
        <w:rPr>
          <w:sz w:val="24"/>
        </w:rPr>
        <w:t>received.</w:t>
      </w:r>
    </w:p>
    <w:p w14:paraId="0CA496BA" w14:textId="77777777" w:rsidR="00BC7EAF" w:rsidRDefault="00BC7EAF">
      <w:pPr>
        <w:pStyle w:val="BodyText"/>
      </w:pPr>
    </w:p>
    <w:p w14:paraId="21370FC6" w14:textId="77777777" w:rsidR="00BC7EAF" w:rsidRDefault="00C8434D">
      <w:pPr>
        <w:pStyle w:val="BodyText"/>
        <w:ind w:left="1242" w:right="1556"/>
      </w:pPr>
      <w:r>
        <w:t>Trustees asked about the Estates Strategy which had been completed but now needed input from the Division</w:t>
      </w:r>
      <w:r>
        <w:t>s to allow long term planning.</w:t>
      </w:r>
    </w:p>
    <w:p w14:paraId="5864ED3B" w14:textId="77777777" w:rsidR="00BC7EAF" w:rsidRDefault="00BC7EAF">
      <w:pPr>
        <w:pStyle w:val="BodyText"/>
        <w:spacing w:before="2"/>
        <w:rPr>
          <w:sz w:val="16"/>
        </w:rPr>
      </w:pPr>
    </w:p>
    <w:p w14:paraId="32EDC328" w14:textId="77777777" w:rsidR="00BC7EAF" w:rsidRDefault="00C8434D">
      <w:pPr>
        <w:tabs>
          <w:tab w:val="left" w:pos="1242"/>
        </w:tabs>
        <w:spacing w:before="90"/>
        <w:ind w:left="315"/>
        <w:rPr>
          <w:sz w:val="24"/>
        </w:rPr>
      </w:pPr>
      <w:r>
        <w:rPr>
          <w:sz w:val="24"/>
        </w:rPr>
        <w:t>4.2</w:t>
      </w:r>
      <w:r>
        <w:rPr>
          <w:sz w:val="24"/>
        </w:rPr>
        <w:tab/>
      </w:r>
      <w:r>
        <w:rPr>
          <w:b/>
          <w:sz w:val="24"/>
          <w:u w:val="thick"/>
        </w:rPr>
        <w:t>Decision</w:t>
      </w:r>
      <w:r>
        <w:rPr>
          <w:b/>
          <w:sz w:val="24"/>
        </w:rPr>
        <w:t xml:space="preserve">. </w:t>
      </w:r>
      <w:r>
        <w:rPr>
          <w:spacing w:val="-3"/>
          <w:sz w:val="24"/>
        </w:rPr>
        <w:t xml:space="preserve">It </w:t>
      </w:r>
      <w:r>
        <w:rPr>
          <w:sz w:val="24"/>
        </w:rPr>
        <w:t>was agreed</w:t>
      </w:r>
      <w:r>
        <w:rPr>
          <w:spacing w:val="4"/>
          <w:sz w:val="24"/>
        </w:rPr>
        <w:t xml:space="preserve"> </w:t>
      </w:r>
      <w:r>
        <w:rPr>
          <w:sz w:val="24"/>
        </w:rPr>
        <w:t>that:</w:t>
      </w:r>
    </w:p>
    <w:p w14:paraId="66649D63" w14:textId="77777777" w:rsidR="00BC7EAF" w:rsidRDefault="00BC7EAF">
      <w:pPr>
        <w:pStyle w:val="BodyText"/>
        <w:spacing w:before="2"/>
        <w:rPr>
          <w:sz w:val="16"/>
        </w:rPr>
      </w:pPr>
    </w:p>
    <w:p w14:paraId="3CF6C039" w14:textId="77777777" w:rsidR="00BC7EAF" w:rsidRDefault="00BC7EAF">
      <w:pPr>
        <w:rPr>
          <w:sz w:val="16"/>
        </w:rPr>
        <w:sectPr w:rsidR="00BC7EAF">
          <w:pgSz w:w="11910" w:h="16840"/>
          <w:pgMar w:top="920" w:right="660" w:bottom="560" w:left="1100" w:header="0" w:footer="380" w:gutter="0"/>
          <w:cols w:space="720"/>
        </w:sectPr>
      </w:pPr>
    </w:p>
    <w:p w14:paraId="61391BB4" w14:textId="77777777" w:rsidR="00BC7EAF" w:rsidRDefault="00C8434D">
      <w:pPr>
        <w:pStyle w:val="BodyText"/>
        <w:spacing w:before="90"/>
        <w:ind w:left="1242"/>
      </w:pPr>
      <w:r>
        <w:t>The Secretary would issue the Estates Strategy as a baseline from which to work and this would be amended in the future.</w:t>
      </w:r>
    </w:p>
    <w:p w14:paraId="66E8AFCA" w14:textId="77777777" w:rsidR="00BC7EAF" w:rsidRDefault="00C8434D">
      <w:pPr>
        <w:pStyle w:val="BodyText"/>
        <w:spacing w:before="90"/>
        <w:ind w:left="378"/>
      </w:pPr>
      <w:r>
        <w:br w:type="column"/>
      </w:r>
      <w:r>
        <w:t>Secretary</w:t>
      </w:r>
    </w:p>
    <w:p w14:paraId="07ACCBB4" w14:textId="77777777" w:rsidR="00BC7EAF" w:rsidRDefault="00BC7EAF">
      <w:pPr>
        <w:sectPr w:rsidR="00BC7EAF">
          <w:type w:val="continuous"/>
          <w:pgSz w:w="11910" w:h="16840"/>
          <w:pgMar w:top="920" w:right="660" w:bottom="560" w:left="1100" w:header="720" w:footer="720" w:gutter="0"/>
          <w:cols w:num="2" w:space="720" w:equalWidth="0">
            <w:col w:w="8500" w:space="40"/>
            <w:col w:w="1610"/>
          </w:cols>
        </w:sectPr>
      </w:pPr>
    </w:p>
    <w:p w14:paraId="0B0F5A69" w14:textId="77777777" w:rsidR="00BC7EAF" w:rsidRDefault="00BC7EAF">
      <w:pPr>
        <w:pStyle w:val="BodyText"/>
        <w:spacing w:before="7"/>
        <w:rPr>
          <w:sz w:val="16"/>
        </w:rPr>
      </w:pPr>
    </w:p>
    <w:p w14:paraId="670C3373" w14:textId="77777777" w:rsidR="00BC7EAF" w:rsidRDefault="00C8434D">
      <w:pPr>
        <w:pStyle w:val="Heading1"/>
        <w:rPr>
          <w:u w:val="none"/>
        </w:rPr>
      </w:pPr>
      <w:r>
        <w:rPr>
          <w:u w:val="thick"/>
        </w:rPr>
        <w:t>DECISION ITEMS:</w:t>
      </w:r>
    </w:p>
    <w:p w14:paraId="5A1EC3A7" w14:textId="77777777" w:rsidR="00BC7EAF" w:rsidRDefault="00BC7EAF">
      <w:pPr>
        <w:pStyle w:val="BodyText"/>
        <w:spacing w:before="2"/>
        <w:rPr>
          <w:b/>
          <w:sz w:val="16"/>
        </w:rPr>
      </w:pPr>
    </w:p>
    <w:p w14:paraId="6944C7B0" w14:textId="77777777" w:rsidR="00BC7EAF" w:rsidRDefault="00C8434D">
      <w:pPr>
        <w:pStyle w:val="ListParagraph"/>
        <w:numPr>
          <w:ilvl w:val="1"/>
          <w:numId w:val="3"/>
        </w:numPr>
        <w:tabs>
          <w:tab w:val="left" w:pos="1242"/>
          <w:tab w:val="left" w:pos="1243"/>
        </w:tabs>
        <w:spacing w:before="90"/>
        <w:ind w:hanging="928"/>
        <w:rPr>
          <w:b/>
          <w:sz w:val="24"/>
        </w:rPr>
      </w:pPr>
      <w:r>
        <w:rPr>
          <w:b/>
          <w:sz w:val="24"/>
          <w:u w:val="thick"/>
        </w:rPr>
        <w:t>Risk</w:t>
      </w:r>
      <w:r>
        <w:rPr>
          <w:b/>
          <w:spacing w:val="-1"/>
          <w:sz w:val="24"/>
          <w:u w:val="thick"/>
        </w:rPr>
        <w:t xml:space="preserve"> </w:t>
      </w:r>
      <w:r>
        <w:rPr>
          <w:b/>
          <w:sz w:val="24"/>
          <w:u w:val="thick"/>
        </w:rPr>
        <w:t>Register</w:t>
      </w:r>
    </w:p>
    <w:p w14:paraId="0EADABF8" w14:textId="77777777" w:rsidR="00BC7EAF" w:rsidRDefault="00BC7EAF">
      <w:pPr>
        <w:pStyle w:val="BodyText"/>
        <w:spacing w:before="7"/>
        <w:rPr>
          <w:b/>
          <w:sz w:val="23"/>
        </w:rPr>
      </w:pPr>
    </w:p>
    <w:p w14:paraId="37AAF454" w14:textId="77777777" w:rsidR="00BC7EAF" w:rsidRDefault="00C8434D">
      <w:pPr>
        <w:pStyle w:val="ListParagraph"/>
        <w:numPr>
          <w:ilvl w:val="1"/>
          <w:numId w:val="3"/>
        </w:numPr>
        <w:tabs>
          <w:tab w:val="left" w:pos="1243"/>
        </w:tabs>
        <w:ind w:right="1639"/>
        <w:jc w:val="both"/>
        <w:rPr>
          <w:sz w:val="24"/>
        </w:rPr>
      </w:pPr>
      <w:r>
        <w:rPr>
          <w:sz w:val="24"/>
        </w:rPr>
        <w:t>The red risks on the Risk Register were reviewed at the Trustees’ Strategy Discussions held in the morning and amended as detailed in the (Confidential)</w:t>
      </w:r>
      <w:r>
        <w:rPr>
          <w:spacing w:val="-2"/>
          <w:sz w:val="24"/>
        </w:rPr>
        <w:t xml:space="preserve"> </w:t>
      </w:r>
      <w:r>
        <w:rPr>
          <w:sz w:val="24"/>
        </w:rPr>
        <w:t>Annex.</w:t>
      </w:r>
    </w:p>
    <w:p w14:paraId="346C0CF0" w14:textId="77777777" w:rsidR="00BC7EAF" w:rsidRDefault="00BC7EAF">
      <w:pPr>
        <w:pStyle w:val="BodyText"/>
      </w:pPr>
    </w:p>
    <w:p w14:paraId="30392589" w14:textId="77777777" w:rsidR="00BC7EAF" w:rsidRDefault="00C8434D">
      <w:pPr>
        <w:pStyle w:val="ListParagraph"/>
        <w:numPr>
          <w:ilvl w:val="1"/>
          <w:numId w:val="3"/>
        </w:numPr>
        <w:tabs>
          <w:tab w:val="left" w:pos="1242"/>
          <w:tab w:val="left" w:pos="1243"/>
        </w:tabs>
        <w:ind w:hanging="928"/>
        <w:rPr>
          <w:sz w:val="24"/>
        </w:rPr>
      </w:pPr>
      <w:r>
        <w:rPr>
          <w:b/>
          <w:sz w:val="24"/>
          <w:u w:val="thick"/>
        </w:rPr>
        <w:t>Decision</w:t>
      </w:r>
      <w:r>
        <w:rPr>
          <w:b/>
          <w:sz w:val="24"/>
        </w:rPr>
        <w:t xml:space="preserve">. </w:t>
      </w:r>
      <w:r>
        <w:rPr>
          <w:spacing w:val="-3"/>
          <w:sz w:val="24"/>
        </w:rPr>
        <w:t xml:space="preserve">It </w:t>
      </w:r>
      <w:r>
        <w:rPr>
          <w:sz w:val="24"/>
        </w:rPr>
        <w:t>was agreed</w:t>
      </w:r>
      <w:r>
        <w:rPr>
          <w:spacing w:val="4"/>
          <w:sz w:val="24"/>
        </w:rPr>
        <w:t xml:space="preserve"> </w:t>
      </w:r>
      <w:r>
        <w:rPr>
          <w:sz w:val="24"/>
        </w:rPr>
        <w:t>that:</w:t>
      </w:r>
    </w:p>
    <w:p w14:paraId="1B61C426" w14:textId="77777777" w:rsidR="00BC7EAF" w:rsidRDefault="00BC7EAF">
      <w:pPr>
        <w:pStyle w:val="BodyText"/>
        <w:spacing w:before="2"/>
        <w:rPr>
          <w:sz w:val="16"/>
        </w:rPr>
      </w:pPr>
    </w:p>
    <w:p w14:paraId="10AEB54F" w14:textId="77777777" w:rsidR="00BC7EAF" w:rsidRDefault="00BC7EAF">
      <w:pPr>
        <w:rPr>
          <w:sz w:val="16"/>
        </w:rPr>
        <w:sectPr w:rsidR="00BC7EAF">
          <w:type w:val="continuous"/>
          <w:pgSz w:w="11910" w:h="16840"/>
          <w:pgMar w:top="920" w:right="660" w:bottom="560" w:left="1100" w:header="720" w:footer="720" w:gutter="0"/>
          <w:cols w:space="720"/>
        </w:sectPr>
      </w:pPr>
    </w:p>
    <w:p w14:paraId="196E4077" w14:textId="77777777" w:rsidR="00BC7EAF" w:rsidRDefault="00C8434D">
      <w:pPr>
        <w:pStyle w:val="BodyText"/>
        <w:spacing w:before="90"/>
        <w:ind w:left="1242"/>
      </w:pPr>
      <w:r>
        <w:t>The Secretary would circulate the full amended R</w:t>
      </w:r>
      <w:r>
        <w:t>isk Register to the Trustees for information.</w:t>
      </w:r>
    </w:p>
    <w:p w14:paraId="35ABC184" w14:textId="77777777" w:rsidR="00BC7EAF" w:rsidRDefault="00C8434D">
      <w:pPr>
        <w:pStyle w:val="BodyText"/>
        <w:spacing w:before="90"/>
        <w:ind w:left="374"/>
      </w:pPr>
      <w:r>
        <w:br w:type="column"/>
      </w:r>
      <w:r>
        <w:t>Secretary</w:t>
      </w:r>
    </w:p>
    <w:p w14:paraId="192BA5D8" w14:textId="77777777" w:rsidR="00BC7EAF" w:rsidRDefault="00BC7EAF">
      <w:pPr>
        <w:sectPr w:rsidR="00BC7EAF">
          <w:type w:val="continuous"/>
          <w:pgSz w:w="11910" w:h="16840"/>
          <w:pgMar w:top="920" w:right="660" w:bottom="560" w:left="1100" w:header="720" w:footer="720" w:gutter="0"/>
          <w:cols w:num="2" w:space="720" w:equalWidth="0">
            <w:col w:w="8503" w:space="40"/>
            <w:col w:w="1607"/>
          </w:cols>
        </w:sectPr>
      </w:pPr>
    </w:p>
    <w:p w14:paraId="3A860E7C" w14:textId="77777777" w:rsidR="00BC7EAF" w:rsidRDefault="00BC7EAF">
      <w:pPr>
        <w:pStyle w:val="BodyText"/>
        <w:spacing w:before="7"/>
        <w:rPr>
          <w:sz w:val="16"/>
        </w:rPr>
      </w:pPr>
    </w:p>
    <w:p w14:paraId="43E67BAB" w14:textId="77777777" w:rsidR="00BC7EAF" w:rsidRDefault="00C8434D">
      <w:pPr>
        <w:pStyle w:val="Heading1"/>
        <w:numPr>
          <w:ilvl w:val="1"/>
          <w:numId w:val="2"/>
        </w:numPr>
        <w:tabs>
          <w:tab w:val="left" w:pos="1242"/>
          <w:tab w:val="left" w:pos="1243"/>
        </w:tabs>
        <w:ind w:hanging="928"/>
        <w:rPr>
          <w:u w:val="none"/>
        </w:rPr>
      </w:pPr>
      <w:r>
        <w:rPr>
          <w:u w:val="thick"/>
        </w:rPr>
        <w:t>Scottish Government Funding</w:t>
      </w:r>
    </w:p>
    <w:p w14:paraId="7C233A0A" w14:textId="77777777" w:rsidR="00BC7EAF" w:rsidRDefault="00BC7EAF">
      <w:pPr>
        <w:pStyle w:val="BodyText"/>
        <w:spacing w:before="6"/>
        <w:rPr>
          <w:b/>
          <w:sz w:val="23"/>
        </w:rPr>
      </w:pPr>
    </w:p>
    <w:p w14:paraId="6E76998D" w14:textId="77777777" w:rsidR="00BC7EAF" w:rsidRDefault="00C8434D">
      <w:pPr>
        <w:pStyle w:val="ListParagraph"/>
        <w:numPr>
          <w:ilvl w:val="1"/>
          <w:numId w:val="2"/>
        </w:numPr>
        <w:tabs>
          <w:tab w:val="left" w:pos="1243"/>
        </w:tabs>
        <w:spacing w:before="1"/>
        <w:ind w:right="1641"/>
        <w:jc w:val="both"/>
        <w:rPr>
          <w:sz w:val="24"/>
        </w:rPr>
      </w:pPr>
      <w:r>
        <w:rPr>
          <w:sz w:val="24"/>
        </w:rPr>
        <w:t>Following an update and discussions with Dr Linda Pooley (Rural and Environment Science and Analytical Services Division) and Ms Liz Ditchburn (Director General for Enterprise, Environment and Innovation) at the Trustees’ Strategy Discussions in the mornin</w:t>
      </w:r>
      <w:r>
        <w:rPr>
          <w:sz w:val="24"/>
        </w:rPr>
        <w:t>g it was agreed that the Chairman would provide the Scottish Government with a broad strategic financial plan by Tuesday 1 November 2016. This was in response to the potentially significant increase in pressure on Government funding and the Government’s re</w:t>
      </w:r>
      <w:r>
        <w:rPr>
          <w:sz w:val="24"/>
        </w:rPr>
        <w:t>quest that RBGE should explore every opportunity to grow its self-generated income. The outline plan would provide the Cabinet Secretary for Environment, Climate Change and Land Reform with additional information that would enable her to gain a clearer vie</w:t>
      </w:r>
      <w:r>
        <w:rPr>
          <w:sz w:val="24"/>
        </w:rPr>
        <w:t>w on the strategic financial development of the RBGE. The Regius Keeper would produce a draft for circulation to the Chairman for consideration before it was sent to the Scottish Government on 1 November</w:t>
      </w:r>
      <w:r>
        <w:rPr>
          <w:spacing w:val="-7"/>
          <w:sz w:val="24"/>
        </w:rPr>
        <w:t xml:space="preserve"> </w:t>
      </w:r>
      <w:r>
        <w:rPr>
          <w:sz w:val="24"/>
        </w:rPr>
        <w:t>2016.</w:t>
      </w:r>
    </w:p>
    <w:p w14:paraId="56EDA33E" w14:textId="77777777" w:rsidR="00BC7EAF" w:rsidRDefault="00BC7EAF">
      <w:pPr>
        <w:pStyle w:val="BodyText"/>
        <w:spacing w:before="7"/>
        <w:rPr>
          <w:sz w:val="16"/>
        </w:rPr>
      </w:pPr>
    </w:p>
    <w:p w14:paraId="759C6673" w14:textId="77777777" w:rsidR="00BC7EAF" w:rsidRDefault="00C8434D">
      <w:pPr>
        <w:pStyle w:val="Heading1"/>
        <w:numPr>
          <w:ilvl w:val="1"/>
          <w:numId w:val="1"/>
        </w:numPr>
        <w:tabs>
          <w:tab w:val="left" w:pos="1242"/>
          <w:tab w:val="left" w:pos="1243"/>
        </w:tabs>
        <w:ind w:hanging="928"/>
        <w:rPr>
          <w:u w:val="none"/>
        </w:rPr>
      </w:pPr>
      <w:r>
        <w:rPr>
          <w:u w:val="thick"/>
        </w:rPr>
        <w:t>Report on the Future of Inverleith House</w:t>
      </w:r>
      <w:r>
        <w:rPr>
          <w:spacing w:val="1"/>
          <w:u w:val="thick"/>
        </w:rPr>
        <w:t xml:space="preserve"> </w:t>
      </w:r>
      <w:r>
        <w:rPr>
          <w:u w:val="thick"/>
        </w:rPr>
        <w:t>Gall</w:t>
      </w:r>
      <w:r>
        <w:rPr>
          <w:u w:val="thick"/>
        </w:rPr>
        <w:t>ery</w:t>
      </w:r>
    </w:p>
    <w:p w14:paraId="0C133D52" w14:textId="77777777" w:rsidR="00BC7EAF" w:rsidRDefault="00BC7EAF">
      <w:pPr>
        <w:pStyle w:val="BodyText"/>
        <w:spacing w:before="6"/>
        <w:rPr>
          <w:b/>
          <w:sz w:val="23"/>
        </w:rPr>
      </w:pPr>
    </w:p>
    <w:p w14:paraId="592429DC" w14:textId="77777777" w:rsidR="00BC7EAF" w:rsidRDefault="00C8434D" w:rsidP="00242D14">
      <w:pPr>
        <w:pStyle w:val="ListParagraph"/>
        <w:numPr>
          <w:ilvl w:val="1"/>
          <w:numId w:val="1"/>
        </w:numPr>
        <w:tabs>
          <w:tab w:val="left" w:pos="1242"/>
          <w:tab w:val="left" w:pos="1243"/>
        </w:tabs>
        <w:ind w:right="1642"/>
        <w:jc w:val="both"/>
        <w:rPr>
          <w:sz w:val="24"/>
        </w:rPr>
      </w:pPr>
      <w:r>
        <w:rPr>
          <w:sz w:val="24"/>
        </w:rPr>
        <w:t>The Regius Keeper had issued the Kelly and Co Report on ‘A Future for Inverleith House’ to Trustees prior to the meeting for their consideration. This Report had been funded by Creative Scotland following their move from providing Regular Funding to O</w:t>
      </w:r>
      <w:r>
        <w:rPr>
          <w:sz w:val="24"/>
        </w:rPr>
        <w:t>pen Project Funding. It was noted that the current funding model was that external funders provided funding for exhibitions in Inverleith House and the RBGE paid the</w:t>
      </w:r>
      <w:r>
        <w:rPr>
          <w:spacing w:val="3"/>
          <w:sz w:val="24"/>
        </w:rPr>
        <w:t xml:space="preserve"> </w:t>
      </w:r>
      <w:r>
        <w:rPr>
          <w:sz w:val="24"/>
        </w:rPr>
        <w:t>staffing,</w:t>
      </w:r>
    </w:p>
    <w:p w14:paraId="5B66CA2A" w14:textId="77777777" w:rsidR="00BC7EAF" w:rsidRDefault="00BC7EAF">
      <w:pPr>
        <w:rPr>
          <w:sz w:val="24"/>
        </w:rPr>
        <w:sectPr w:rsidR="00BC7EAF">
          <w:type w:val="continuous"/>
          <w:pgSz w:w="11910" w:h="16840"/>
          <w:pgMar w:top="920" w:right="660" w:bottom="560" w:left="1100" w:header="720" w:footer="720" w:gutter="0"/>
          <w:cols w:space="720"/>
        </w:sectPr>
      </w:pPr>
    </w:p>
    <w:p w14:paraId="1166A705" w14:textId="77777777" w:rsidR="00BC7EAF" w:rsidRDefault="00C8434D">
      <w:pPr>
        <w:pStyle w:val="BodyText"/>
        <w:tabs>
          <w:tab w:val="left" w:pos="1242"/>
          <w:tab w:val="left" w:pos="9044"/>
        </w:tabs>
        <w:spacing w:before="61"/>
        <w:ind w:left="315"/>
      </w:pPr>
      <w:r>
        <w:rPr>
          <w:u w:val="single"/>
        </w:rPr>
        <w:lastRenderedPageBreak/>
        <w:t>Item</w:t>
      </w:r>
      <w:r>
        <w:tab/>
      </w:r>
      <w:r>
        <w:rPr>
          <w:u w:val="single"/>
        </w:rPr>
        <w:t>Narrative</w:t>
      </w:r>
      <w:r>
        <w:rPr>
          <w:spacing w:val="-3"/>
          <w:u w:val="single"/>
        </w:rPr>
        <w:t xml:space="preserve"> </w:t>
      </w:r>
      <w:r>
        <w:rPr>
          <w:u w:val="single"/>
        </w:rPr>
        <w:t>&amp;</w:t>
      </w:r>
      <w:r>
        <w:rPr>
          <w:spacing w:val="-1"/>
          <w:u w:val="single"/>
        </w:rPr>
        <w:t xml:space="preserve"> </w:t>
      </w:r>
      <w:r>
        <w:rPr>
          <w:u w:val="single"/>
        </w:rPr>
        <w:t>Decisions</w:t>
      </w:r>
      <w:r>
        <w:tab/>
      </w:r>
      <w:r>
        <w:rPr>
          <w:u w:val="single"/>
        </w:rPr>
        <w:t>Action</w:t>
      </w:r>
    </w:p>
    <w:p w14:paraId="2A2224AA" w14:textId="77777777" w:rsidR="00BC7EAF" w:rsidRDefault="00BC7EAF">
      <w:pPr>
        <w:pStyle w:val="BodyText"/>
        <w:spacing w:before="2"/>
        <w:rPr>
          <w:sz w:val="16"/>
        </w:rPr>
      </w:pPr>
    </w:p>
    <w:p w14:paraId="7AE549EC" w14:textId="77777777" w:rsidR="00BC7EAF" w:rsidRDefault="00C8434D">
      <w:pPr>
        <w:pStyle w:val="BodyText"/>
        <w:spacing w:before="90"/>
        <w:ind w:left="1242" w:right="1640"/>
        <w:jc w:val="both"/>
      </w:pPr>
      <w:r>
        <w:t>building maintenance, and oth</w:t>
      </w:r>
      <w:r>
        <w:t>er support costs. The Trustees’ views were sought on whether to keep Inverleith House as a contemporary art gallery or to explore other uses for the space. It was noted that there was no funding for exhibitions beyond the end of October 2016. It was agreed</w:t>
      </w:r>
      <w:r>
        <w:t xml:space="preserve"> that the financial model figures proposed in the Report were high risk, required further financial investment and included untested assumptions. Trustees asked if there would be any opportunities to partner with other Scottish galleries to share the finan</w:t>
      </w:r>
      <w:r>
        <w:t>cial responsibility, but there would appear to be little appetite for this. If Inverleith House was no longer used as a contemporary art gallery the Staff would be offered positions elsewhere in the Exhibition and Events Team. Trustees discussed the matter</w:t>
      </w:r>
      <w:r>
        <w:t xml:space="preserve"> in detail and concluded unanimously</w:t>
      </w:r>
      <w:r>
        <w:rPr>
          <w:spacing w:val="-6"/>
        </w:rPr>
        <w:t xml:space="preserve"> </w:t>
      </w:r>
      <w:r>
        <w:t>that:</w:t>
      </w:r>
    </w:p>
    <w:p w14:paraId="4951DD77" w14:textId="77777777" w:rsidR="00BC7EAF" w:rsidRDefault="00BC7EAF">
      <w:pPr>
        <w:pStyle w:val="BodyText"/>
      </w:pPr>
    </w:p>
    <w:p w14:paraId="64AA0C73" w14:textId="77777777" w:rsidR="00BC7EAF" w:rsidRDefault="00C8434D">
      <w:pPr>
        <w:pStyle w:val="ListParagraph"/>
        <w:numPr>
          <w:ilvl w:val="2"/>
          <w:numId w:val="1"/>
        </w:numPr>
        <w:tabs>
          <w:tab w:val="left" w:pos="2083"/>
        </w:tabs>
        <w:spacing w:before="1"/>
        <w:ind w:right="1640"/>
        <w:jc w:val="both"/>
        <w:rPr>
          <w:sz w:val="24"/>
        </w:rPr>
      </w:pPr>
      <w:r>
        <w:rPr>
          <w:sz w:val="24"/>
        </w:rPr>
        <w:t>Inverleith House would no longer be dedicated to contemporary art.</w:t>
      </w:r>
    </w:p>
    <w:p w14:paraId="6AAC7908" w14:textId="77777777" w:rsidR="00BC7EAF" w:rsidRDefault="00BC7EAF">
      <w:pPr>
        <w:pStyle w:val="BodyText"/>
        <w:spacing w:before="11"/>
        <w:rPr>
          <w:sz w:val="23"/>
        </w:rPr>
      </w:pPr>
    </w:p>
    <w:p w14:paraId="75AC1F44" w14:textId="77777777" w:rsidR="00BC7EAF" w:rsidRDefault="00C8434D">
      <w:pPr>
        <w:pStyle w:val="ListParagraph"/>
        <w:numPr>
          <w:ilvl w:val="2"/>
          <w:numId w:val="1"/>
        </w:numPr>
        <w:tabs>
          <w:tab w:val="left" w:pos="2083"/>
        </w:tabs>
        <w:ind w:right="1643"/>
        <w:jc w:val="both"/>
        <w:rPr>
          <w:sz w:val="24"/>
        </w:rPr>
      </w:pPr>
      <w:r>
        <w:rPr>
          <w:sz w:val="24"/>
        </w:rPr>
        <w:t>RBGE would continue to include creative art events and exhibitions in its programme, and would discuss the future programme and the potential for funding with Creative</w:t>
      </w:r>
      <w:r>
        <w:rPr>
          <w:spacing w:val="-12"/>
          <w:sz w:val="24"/>
        </w:rPr>
        <w:t xml:space="preserve"> </w:t>
      </w:r>
      <w:r>
        <w:rPr>
          <w:sz w:val="24"/>
        </w:rPr>
        <w:t>Scotland.</w:t>
      </w:r>
    </w:p>
    <w:p w14:paraId="67385B1A" w14:textId="77777777" w:rsidR="00BC7EAF" w:rsidRDefault="00BC7EAF">
      <w:pPr>
        <w:pStyle w:val="BodyText"/>
      </w:pPr>
    </w:p>
    <w:p w14:paraId="780BE7C2" w14:textId="77777777" w:rsidR="00BC7EAF" w:rsidRDefault="00C8434D">
      <w:pPr>
        <w:pStyle w:val="ListParagraph"/>
        <w:numPr>
          <w:ilvl w:val="2"/>
          <w:numId w:val="1"/>
        </w:numPr>
        <w:tabs>
          <w:tab w:val="left" w:pos="2083"/>
        </w:tabs>
        <w:ind w:right="1646"/>
        <w:jc w:val="both"/>
        <w:rPr>
          <w:sz w:val="24"/>
        </w:rPr>
      </w:pPr>
      <w:r>
        <w:rPr>
          <w:sz w:val="24"/>
        </w:rPr>
        <w:t>The Regius Keeper would investigate the future use of Inverleith House as par</w:t>
      </w:r>
      <w:r>
        <w:rPr>
          <w:sz w:val="24"/>
        </w:rPr>
        <w:t>t of the drive to increase income/make financial savings.</w:t>
      </w:r>
    </w:p>
    <w:p w14:paraId="7BC6EC38" w14:textId="77777777" w:rsidR="00BC7EAF" w:rsidRDefault="00BC7EAF">
      <w:pPr>
        <w:pStyle w:val="BodyText"/>
      </w:pPr>
    </w:p>
    <w:p w14:paraId="19610C2B" w14:textId="77777777" w:rsidR="00BC7EAF" w:rsidRDefault="00C8434D">
      <w:pPr>
        <w:pStyle w:val="BodyText"/>
        <w:ind w:left="1242" w:right="1641"/>
        <w:jc w:val="both"/>
      </w:pPr>
      <w:r>
        <w:t>Trustees also noted that Inverleith House had built up an excellent reputation as a contemporary art gallery and had contributed much to the “Scottish art scene”. However, the need to focus resourc</w:t>
      </w:r>
      <w:r>
        <w:t>es on core botanical and horticultural activities, reduce financial risk and costs, and to increase income meant that it was no longer appropriate for RBGE to subsidise a dedicated contemporary art</w:t>
      </w:r>
      <w:r>
        <w:rPr>
          <w:spacing w:val="-6"/>
        </w:rPr>
        <w:t xml:space="preserve"> </w:t>
      </w:r>
      <w:r>
        <w:t>gallery.</w:t>
      </w:r>
    </w:p>
    <w:p w14:paraId="3B1C8FC9" w14:textId="77777777" w:rsidR="00BC7EAF" w:rsidRDefault="00BC7EAF">
      <w:pPr>
        <w:pStyle w:val="BodyText"/>
        <w:spacing w:before="2"/>
        <w:rPr>
          <w:sz w:val="16"/>
        </w:rPr>
      </w:pPr>
    </w:p>
    <w:p w14:paraId="51C4D468" w14:textId="77777777" w:rsidR="00BC7EAF" w:rsidRDefault="00C8434D">
      <w:pPr>
        <w:pStyle w:val="ListParagraph"/>
        <w:numPr>
          <w:ilvl w:val="1"/>
          <w:numId w:val="1"/>
        </w:numPr>
        <w:tabs>
          <w:tab w:val="left" w:pos="1242"/>
          <w:tab w:val="left" w:pos="1243"/>
        </w:tabs>
        <w:spacing w:before="90"/>
        <w:ind w:hanging="928"/>
        <w:rPr>
          <w:sz w:val="24"/>
        </w:rPr>
      </w:pPr>
      <w:r>
        <w:rPr>
          <w:b/>
          <w:sz w:val="24"/>
          <w:u w:val="thick"/>
        </w:rPr>
        <w:t>Decisions</w:t>
      </w:r>
      <w:r>
        <w:rPr>
          <w:b/>
          <w:sz w:val="24"/>
        </w:rPr>
        <w:t xml:space="preserve">. </w:t>
      </w:r>
      <w:r>
        <w:rPr>
          <w:spacing w:val="-3"/>
          <w:sz w:val="24"/>
        </w:rPr>
        <w:t xml:space="preserve">It </w:t>
      </w:r>
      <w:r>
        <w:rPr>
          <w:sz w:val="24"/>
        </w:rPr>
        <w:t>was agreed</w:t>
      </w:r>
      <w:r>
        <w:rPr>
          <w:spacing w:val="6"/>
          <w:sz w:val="24"/>
        </w:rPr>
        <w:t xml:space="preserve"> </w:t>
      </w:r>
      <w:r>
        <w:rPr>
          <w:sz w:val="24"/>
        </w:rPr>
        <w:t>that:</w:t>
      </w:r>
    </w:p>
    <w:p w14:paraId="07157114" w14:textId="77777777" w:rsidR="00BC7EAF" w:rsidRDefault="00BC7EAF">
      <w:pPr>
        <w:pStyle w:val="BodyText"/>
        <w:spacing w:before="3"/>
        <w:rPr>
          <w:sz w:val="16"/>
        </w:rPr>
      </w:pPr>
    </w:p>
    <w:p w14:paraId="5C9FB0D4" w14:textId="77777777" w:rsidR="00BC7EAF" w:rsidRDefault="00C8434D">
      <w:pPr>
        <w:pStyle w:val="BodyText"/>
        <w:spacing w:before="90"/>
        <w:ind w:left="1242"/>
      </w:pPr>
      <w:r>
        <w:t>The Regius Keepe</w:t>
      </w:r>
      <w:r>
        <w:t>r would:</w:t>
      </w:r>
    </w:p>
    <w:p w14:paraId="754FA76E" w14:textId="77777777" w:rsidR="00BC7EAF" w:rsidRDefault="00BC7EAF">
      <w:pPr>
        <w:pStyle w:val="BodyText"/>
        <w:spacing w:before="2"/>
        <w:rPr>
          <w:sz w:val="16"/>
        </w:rPr>
      </w:pPr>
    </w:p>
    <w:p w14:paraId="0BD70ED1" w14:textId="77777777" w:rsidR="00BC7EAF" w:rsidRDefault="00BC7EAF">
      <w:pPr>
        <w:rPr>
          <w:sz w:val="16"/>
        </w:rPr>
        <w:sectPr w:rsidR="00BC7EAF">
          <w:pgSz w:w="11910" w:h="16840"/>
          <w:pgMar w:top="920" w:right="660" w:bottom="640" w:left="1100" w:header="0" w:footer="380" w:gutter="0"/>
          <w:cols w:space="720"/>
        </w:sectPr>
      </w:pPr>
    </w:p>
    <w:p w14:paraId="5460121C" w14:textId="77777777" w:rsidR="00BC7EAF" w:rsidRDefault="00C8434D">
      <w:pPr>
        <w:pStyle w:val="ListParagraph"/>
        <w:numPr>
          <w:ilvl w:val="2"/>
          <w:numId w:val="1"/>
        </w:numPr>
        <w:tabs>
          <w:tab w:val="left" w:pos="1963"/>
        </w:tabs>
        <w:spacing w:before="90"/>
        <w:ind w:left="1962" w:right="1" w:hanging="360"/>
        <w:jc w:val="both"/>
        <w:rPr>
          <w:sz w:val="24"/>
        </w:rPr>
      </w:pPr>
      <w:r>
        <w:rPr>
          <w:sz w:val="24"/>
        </w:rPr>
        <w:t>Advise the Scottish Government and Creative Scotland of the Board’s decision to no longer run Inverleith House as a dedicated contemporary art</w:t>
      </w:r>
      <w:r>
        <w:rPr>
          <w:spacing w:val="-2"/>
          <w:sz w:val="24"/>
        </w:rPr>
        <w:t xml:space="preserve"> </w:t>
      </w:r>
      <w:r>
        <w:rPr>
          <w:sz w:val="24"/>
        </w:rPr>
        <w:t>gallery.</w:t>
      </w:r>
    </w:p>
    <w:p w14:paraId="04A3A021" w14:textId="77777777" w:rsidR="00BC7EAF" w:rsidRDefault="00BC7EAF">
      <w:pPr>
        <w:pStyle w:val="BodyText"/>
        <w:spacing w:before="11"/>
        <w:rPr>
          <w:sz w:val="23"/>
        </w:rPr>
      </w:pPr>
    </w:p>
    <w:p w14:paraId="1442D14E" w14:textId="77777777" w:rsidR="00BC7EAF" w:rsidRDefault="00C8434D">
      <w:pPr>
        <w:pStyle w:val="ListParagraph"/>
        <w:numPr>
          <w:ilvl w:val="2"/>
          <w:numId w:val="1"/>
        </w:numPr>
        <w:tabs>
          <w:tab w:val="left" w:pos="1963"/>
        </w:tabs>
        <w:ind w:left="1962" w:hanging="360"/>
        <w:jc w:val="both"/>
        <w:rPr>
          <w:sz w:val="24"/>
        </w:rPr>
      </w:pPr>
      <w:r>
        <w:rPr>
          <w:sz w:val="24"/>
        </w:rPr>
        <w:t>Offer the two affected Staff positions elsewhere in the Exhibitions and Eve</w:t>
      </w:r>
      <w:r>
        <w:rPr>
          <w:sz w:val="24"/>
        </w:rPr>
        <w:t>nts</w:t>
      </w:r>
      <w:r>
        <w:rPr>
          <w:spacing w:val="-1"/>
          <w:sz w:val="24"/>
        </w:rPr>
        <w:t xml:space="preserve"> </w:t>
      </w:r>
      <w:r>
        <w:rPr>
          <w:sz w:val="24"/>
        </w:rPr>
        <w:t>Team.</w:t>
      </w:r>
    </w:p>
    <w:p w14:paraId="62646378" w14:textId="77777777" w:rsidR="00BC7EAF" w:rsidRDefault="00BC7EAF">
      <w:pPr>
        <w:pStyle w:val="BodyText"/>
      </w:pPr>
    </w:p>
    <w:p w14:paraId="4048CD08" w14:textId="77777777" w:rsidR="00BC7EAF" w:rsidRDefault="00C8434D">
      <w:pPr>
        <w:pStyle w:val="ListParagraph"/>
        <w:numPr>
          <w:ilvl w:val="2"/>
          <w:numId w:val="1"/>
        </w:numPr>
        <w:tabs>
          <w:tab w:val="left" w:pos="1963"/>
        </w:tabs>
        <w:ind w:left="1962" w:hanging="361"/>
        <w:rPr>
          <w:sz w:val="24"/>
        </w:rPr>
      </w:pPr>
      <w:r>
        <w:rPr>
          <w:sz w:val="24"/>
        </w:rPr>
        <w:t>Consider future options for the use of Inverleith</w:t>
      </w:r>
      <w:r>
        <w:rPr>
          <w:spacing w:val="-7"/>
          <w:sz w:val="24"/>
        </w:rPr>
        <w:t xml:space="preserve"> </w:t>
      </w:r>
      <w:r>
        <w:rPr>
          <w:sz w:val="24"/>
        </w:rPr>
        <w:t>House.</w:t>
      </w:r>
    </w:p>
    <w:p w14:paraId="43EE8EF6" w14:textId="77777777" w:rsidR="00BC7EAF" w:rsidRDefault="00BC7EAF">
      <w:pPr>
        <w:pStyle w:val="BodyText"/>
        <w:spacing w:before="5"/>
      </w:pPr>
    </w:p>
    <w:p w14:paraId="31EF5227" w14:textId="77777777" w:rsidR="00BC7EAF" w:rsidRDefault="00C8434D">
      <w:pPr>
        <w:pStyle w:val="Heading1"/>
        <w:spacing w:before="0"/>
        <w:rPr>
          <w:u w:val="none"/>
        </w:rPr>
      </w:pPr>
      <w:r>
        <w:rPr>
          <w:u w:val="thick"/>
        </w:rPr>
        <w:t>INFORMATION ITEMS:</w:t>
      </w:r>
    </w:p>
    <w:p w14:paraId="452F7364" w14:textId="77777777" w:rsidR="00BC7EAF" w:rsidRDefault="00C8434D">
      <w:pPr>
        <w:pStyle w:val="BodyText"/>
        <w:spacing w:before="90"/>
        <w:ind w:left="481" w:right="412" w:firstLine="14"/>
      </w:pPr>
      <w:r>
        <w:br w:type="column"/>
      </w:r>
      <w:r>
        <w:t>Regius Keeper</w:t>
      </w:r>
    </w:p>
    <w:p w14:paraId="486A9945" w14:textId="77777777" w:rsidR="00BC7EAF" w:rsidRDefault="00BC7EAF">
      <w:pPr>
        <w:pStyle w:val="BodyText"/>
        <w:rPr>
          <w:sz w:val="26"/>
        </w:rPr>
      </w:pPr>
    </w:p>
    <w:p w14:paraId="3C86D305" w14:textId="77777777" w:rsidR="00BC7EAF" w:rsidRDefault="00BC7EAF">
      <w:pPr>
        <w:pStyle w:val="BodyText"/>
        <w:spacing w:before="11"/>
        <w:rPr>
          <w:sz w:val="21"/>
        </w:rPr>
      </w:pPr>
    </w:p>
    <w:p w14:paraId="1B5A3053" w14:textId="77777777" w:rsidR="00BC7EAF" w:rsidRDefault="00C8434D">
      <w:pPr>
        <w:pStyle w:val="BodyText"/>
        <w:ind w:left="481" w:right="412" w:firstLine="14"/>
      </w:pPr>
      <w:r>
        <w:t>Regius Keeper</w:t>
      </w:r>
    </w:p>
    <w:p w14:paraId="6DFC9AE5" w14:textId="77777777" w:rsidR="00BC7EAF" w:rsidRDefault="00BC7EAF">
      <w:pPr>
        <w:pStyle w:val="BodyText"/>
      </w:pPr>
    </w:p>
    <w:p w14:paraId="0ECF2C9E" w14:textId="77777777" w:rsidR="00BC7EAF" w:rsidRDefault="00C8434D">
      <w:pPr>
        <w:pStyle w:val="BodyText"/>
        <w:ind w:left="481" w:right="412" w:firstLine="14"/>
      </w:pPr>
      <w:r>
        <w:t>Regius Keeper</w:t>
      </w:r>
    </w:p>
    <w:p w14:paraId="3CEF72C1" w14:textId="77777777" w:rsidR="00BC7EAF" w:rsidRDefault="00BC7EAF">
      <w:pPr>
        <w:sectPr w:rsidR="00BC7EAF">
          <w:type w:val="continuous"/>
          <w:pgSz w:w="11910" w:h="16840"/>
          <w:pgMar w:top="920" w:right="660" w:bottom="560" w:left="1100" w:header="720" w:footer="720" w:gutter="0"/>
          <w:cols w:num="2" w:space="720" w:equalWidth="0">
            <w:col w:w="8504" w:space="40"/>
            <w:col w:w="1606"/>
          </w:cols>
        </w:sectPr>
      </w:pPr>
    </w:p>
    <w:p w14:paraId="49122949" w14:textId="77777777" w:rsidR="00BC7EAF" w:rsidRDefault="00BC7EAF">
      <w:pPr>
        <w:pStyle w:val="BodyText"/>
        <w:spacing w:before="2"/>
        <w:rPr>
          <w:sz w:val="16"/>
        </w:rPr>
      </w:pPr>
    </w:p>
    <w:p w14:paraId="58C6A0D2" w14:textId="77777777" w:rsidR="00BC7EAF" w:rsidRDefault="00C8434D">
      <w:pPr>
        <w:pStyle w:val="Heading1"/>
        <w:tabs>
          <w:tab w:val="left" w:pos="1242"/>
        </w:tabs>
        <w:ind w:left="315"/>
        <w:rPr>
          <w:u w:val="none"/>
        </w:rPr>
      </w:pPr>
      <w:r>
        <w:rPr>
          <w:u w:val="none"/>
        </w:rPr>
        <w:t>8.0</w:t>
      </w:r>
      <w:r>
        <w:rPr>
          <w:u w:val="none"/>
        </w:rPr>
        <w:tab/>
      </w:r>
      <w:r>
        <w:rPr>
          <w:u w:val="thick"/>
        </w:rPr>
        <w:t>Pathogens and Plant</w:t>
      </w:r>
      <w:r>
        <w:rPr>
          <w:spacing w:val="-2"/>
          <w:u w:val="thick"/>
        </w:rPr>
        <w:t xml:space="preserve"> </w:t>
      </w:r>
      <w:r>
        <w:rPr>
          <w:u w:val="thick"/>
        </w:rPr>
        <w:t>Health</w:t>
      </w:r>
    </w:p>
    <w:p w14:paraId="5714872F" w14:textId="77777777" w:rsidR="00BC7EAF" w:rsidRDefault="00BC7EAF">
      <w:pPr>
        <w:pStyle w:val="BodyText"/>
        <w:spacing w:before="9"/>
        <w:rPr>
          <w:b/>
          <w:sz w:val="15"/>
        </w:rPr>
      </w:pPr>
    </w:p>
    <w:p w14:paraId="4992E952" w14:textId="77777777" w:rsidR="00BC7EAF" w:rsidRDefault="00C8434D">
      <w:pPr>
        <w:pStyle w:val="BodyText"/>
        <w:spacing w:before="90"/>
        <w:ind w:left="1242" w:right="1556"/>
      </w:pPr>
      <w:r>
        <w:t>The Director of Science gave a presentation on the Centre of Expertise in Plant Health and biosecurity.</w:t>
      </w:r>
    </w:p>
    <w:p w14:paraId="240DC110" w14:textId="77777777" w:rsidR="00BC7EAF" w:rsidRDefault="00BC7EAF">
      <w:pPr>
        <w:sectPr w:rsidR="00BC7EAF">
          <w:type w:val="continuous"/>
          <w:pgSz w:w="11910" w:h="16840"/>
          <w:pgMar w:top="920" w:right="660" w:bottom="560" w:left="1100" w:header="720" w:footer="72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881"/>
        <w:gridCol w:w="5225"/>
        <w:gridCol w:w="2276"/>
        <w:gridCol w:w="1399"/>
      </w:tblGrid>
      <w:tr w:rsidR="00BC7EAF" w14:paraId="7A78E8DE" w14:textId="77777777">
        <w:trPr>
          <w:trHeight w:val="684"/>
        </w:trPr>
        <w:tc>
          <w:tcPr>
            <w:tcW w:w="881" w:type="dxa"/>
          </w:tcPr>
          <w:p w14:paraId="3EB44739" w14:textId="77777777" w:rsidR="00BC7EAF" w:rsidRDefault="00C8434D">
            <w:pPr>
              <w:pStyle w:val="TableParagraph"/>
              <w:spacing w:line="258" w:lineRule="exact"/>
              <w:ind w:left="179" w:right="221"/>
              <w:jc w:val="center"/>
              <w:rPr>
                <w:sz w:val="24"/>
              </w:rPr>
            </w:pPr>
            <w:r>
              <w:rPr>
                <w:sz w:val="24"/>
                <w:u w:val="single"/>
              </w:rPr>
              <w:lastRenderedPageBreak/>
              <w:t>Item</w:t>
            </w:r>
          </w:p>
        </w:tc>
        <w:tc>
          <w:tcPr>
            <w:tcW w:w="5225" w:type="dxa"/>
          </w:tcPr>
          <w:p w14:paraId="251D2954" w14:textId="77777777" w:rsidR="00BC7EAF" w:rsidRDefault="00C8434D">
            <w:pPr>
              <w:pStyle w:val="TableParagraph"/>
              <w:spacing w:line="258" w:lineRule="exact"/>
              <w:ind w:left="245"/>
              <w:rPr>
                <w:sz w:val="24"/>
              </w:rPr>
            </w:pPr>
            <w:r>
              <w:rPr>
                <w:sz w:val="24"/>
                <w:u w:val="single"/>
              </w:rPr>
              <w:t>Narrative &amp; Decisions</w:t>
            </w:r>
          </w:p>
        </w:tc>
        <w:tc>
          <w:tcPr>
            <w:tcW w:w="3675" w:type="dxa"/>
            <w:gridSpan w:val="2"/>
          </w:tcPr>
          <w:p w14:paraId="6AC74A43" w14:textId="77777777" w:rsidR="00BC7EAF" w:rsidRDefault="00C8434D">
            <w:pPr>
              <w:pStyle w:val="TableParagraph"/>
              <w:spacing w:line="258" w:lineRule="exact"/>
              <w:ind w:right="197"/>
              <w:jc w:val="right"/>
              <w:rPr>
                <w:sz w:val="24"/>
              </w:rPr>
            </w:pPr>
            <w:r>
              <w:rPr>
                <w:sz w:val="24"/>
                <w:u w:val="single"/>
              </w:rPr>
              <w:t>Action</w:t>
            </w:r>
          </w:p>
        </w:tc>
      </w:tr>
      <w:tr w:rsidR="00242D14" w14:paraId="1824A426" w14:textId="77777777" w:rsidTr="00242D14">
        <w:trPr>
          <w:trHeight w:val="2157"/>
        </w:trPr>
        <w:tc>
          <w:tcPr>
            <w:tcW w:w="881" w:type="dxa"/>
          </w:tcPr>
          <w:p w14:paraId="532F2A65" w14:textId="77777777" w:rsidR="00242D14" w:rsidRDefault="00242D14">
            <w:pPr>
              <w:pStyle w:val="TableParagraph"/>
              <w:rPr>
                <w:sz w:val="26"/>
              </w:rPr>
            </w:pPr>
          </w:p>
          <w:p w14:paraId="537A3636" w14:textId="77777777" w:rsidR="00242D14" w:rsidRDefault="00242D14">
            <w:pPr>
              <w:pStyle w:val="TableParagraph"/>
              <w:rPr>
                <w:sz w:val="26"/>
              </w:rPr>
            </w:pPr>
          </w:p>
          <w:p w14:paraId="127EA770" w14:textId="77777777" w:rsidR="00242D14" w:rsidRDefault="00242D14">
            <w:pPr>
              <w:pStyle w:val="TableParagraph"/>
              <w:rPr>
                <w:sz w:val="26"/>
              </w:rPr>
            </w:pPr>
          </w:p>
          <w:p w14:paraId="1FEA23CB" w14:textId="77777777" w:rsidR="00242D14" w:rsidRDefault="00242D14">
            <w:pPr>
              <w:pStyle w:val="TableParagraph"/>
              <w:rPr>
                <w:sz w:val="26"/>
              </w:rPr>
            </w:pPr>
          </w:p>
          <w:p w14:paraId="746BEDBF" w14:textId="77777777" w:rsidR="00242D14" w:rsidRDefault="00242D14">
            <w:pPr>
              <w:pStyle w:val="TableParagraph"/>
              <w:rPr>
                <w:sz w:val="26"/>
              </w:rPr>
            </w:pPr>
          </w:p>
          <w:p w14:paraId="6B8CB1C5" w14:textId="67ABF1B0" w:rsidR="00242D14" w:rsidRDefault="00242D14">
            <w:pPr>
              <w:pStyle w:val="TableParagraph"/>
              <w:spacing w:before="217"/>
              <w:ind w:left="41" w:right="221"/>
              <w:jc w:val="center"/>
              <w:rPr>
                <w:sz w:val="24"/>
              </w:rPr>
            </w:pPr>
          </w:p>
        </w:tc>
        <w:tc>
          <w:tcPr>
            <w:tcW w:w="7501" w:type="dxa"/>
            <w:gridSpan w:val="2"/>
          </w:tcPr>
          <w:p w14:paraId="1C8E2888" w14:textId="7351CFBC" w:rsidR="00242D14" w:rsidRDefault="00242D14" w:rsidP="00242D14">
            <w:pPr>
              <w:pStyle w:val="TableParagraph"/>
              <w:ind w:left="245"/>
              <w:jc w:val="both"/>
              <w:rPr>
                <w:sz w:val="24"/>
              </w:rPr>
            </w:pPr>
            <w:r>
              <w:rPr>
                <w:sz w:val="24"/>
              </w:rPr>
              <w:t>The RBGE was part of the bid for Scottish Government funding of up to £750k per year. The consortium comprised The James Hutton Institute, Scotland’s Rural College (SRUC), Biomathematics and Statistics Scotland (</w:t>
            </w:r>
            <w:proofErr w:type="spellStart"/>
            <w:r>
              <w:rPr>
                <w:sz w:val="24"/>
              </w:rPr>
              <w:t>BioSS</w:t>
            </w:r>
            <w:proofErr w:type="spellEnd"/>
            <w:r>
              <w:rPr>
                <w:sz w:val="24"/>
              </w:rPr>
              <w:t>), University of Stirling (</w:t>
            </w:r>
            <w:proofErr w:type="spellStart"/>
            <w:r>
              <w:rPr>
                <w:sz w:val="24"/>
              </w:rPr>
              <w:t>UoS</w:t>
            </w:r>
            <w:proofErr w:type="spellEnd"/>
            <w:r>
              <w:rPr>
                <w:sz w:val="24"/>
              </w:rPr>
              <w:t>), Forest Research (FR), Scottish Agricultural Science Agency (SASA) and the RBGE. It would become Scotland’s knowledge hub for plant health and improve resilience to plant health threats in Scotland.</w:t>
            </w:r>
          </w:p>
        </w:tc>
        <w:tc>
          <w:tcPr>
            <w:tcW w:w="1399" w:type="dxa"/>
          </w:tcPr>
          <w:p w14:paraId="1C0C1F97" w14:textId="143329C5" w:rsidR="00242D14" w:rsidRDefault="00242D14" w:rsidP="00242D14">
            <w:pPr>
              <w:pStyle w:val="TableParagraph"/>
              <w:ind w:right="1390"/>
              <w:jc w:val="both"/>
              <w:rPr>
                <w:sz w:val="24"/>
              </w:rPr>
            </w:pPr>
          </w:p>
        </w:tc>
      </w:tr>
      <w:tr w:rsidR="00242D14" w14:paraId="0E455AF5" w14:textId="77777777" w:rsidTr="00242D14">
        <w:trPr>
          <w:trHeight w:val="551"/>
        </w:trPr>
        <w:tc>
          <w:tcPr>
            <w:tcW w:w="881" w:type="dxa"/>
          </w:tcPr>
          <w:p w14:paraId="10999560" w14:textId="59BD6A9E" w:rsidR="00242D14" w:rsidRPr="00242D14" w:rsidRDefault="00242D14" w:rsidP="00242D14">
            <w:pPr>
              <w:pStyle w:val="TableParagraph"/>
              <w:jc w:val="center"/>
              <w:rPr>
                <w:bCs/>
                <w:sz w:val="24"/>
              </w:rPr>
            </w:pPr>
            <w:r w:rsidRPr="00242D14">
              <w:rPr>
                <w:bCs/>
                <w:sz w:val="24"/>
              </w:rPr>
              <w:t>8.2</w:t>
            </w:r>
          </w:p>
        </w:tc>
        <w:tc>
          <w:tcPr>
            <w:tcW w:w="7501" w:type="dxa"/>
            <w:gridSpan w:val="2"/>
          </w:tcPr>
          <w:p w14:paraId="47831F10" w14:textId="77777777" w:rsidR="00242D14" w:rsidRDefault="00242D14" w:rsidP="00242D14">
            <w:pPr>
              <w:pStyle w:val="TableParagraph"/>
              <w:spacing w:before="11"/>
              <w:ind w:left="170"/>
              <w:rPr>
                <w:sz w:val="24"/>
                <w:u w:val="single"/>
              </w:rPr>
            </w:pPr>
            <w:r>
              <w:rPr>
                <w:sz w:val="24"/>
                <w:u w:val="single"/>
              </w:rPr>
              <w:t>Biosecurity</w:t>
            </w:r>
          </w:p>
          <w:p w14:paraId="4913A480" w14:textId="77777777" w:rsidR="00242D14" w:rsidRDefault="00242D14" w:rsidP="00242D14">
            <w:pPr>
              <w:pStyle w:val="TableParagraph"/>
              <w:spacing w:before="11"/>
              <w:ind w:left="170"/>
              <w:rPr>
                <w:sz w:val="24"/>
                <w:u w:val="single"/>
              </w:rPr>
            </w:pPr>
          </w:p>
          <w:p w14:paraId="3252D13E" w14:textId="77777777" w:rsidR="00242D14" w:rsidRDefault="00242D14" w:rsidP="00242D14">
            <w:pPr>
              <w:pStyle w:val="TableParagraph"/>
              <w:spacing w:before="11"/>
              <w:ind w:left="170"/>
              <w:jc w:val="both"/>
              <w:rPr>
                <w:sz w:val="24"/>
              </w:rPr>
            </w:pPr>
            <w:r>
              <w:rPr>
                <w:sz w:val="24"/>
              </w:rPr>
              <w:t xml:space="preserve">This was an external project that involved the sequencing of soil samples from Logan Botanic Garden, Benmore Botanic Garden and Edinburgh where </w:t>
            </w:r>
            <w:r>
              <w:rPr>
                <w:i/>
                <w:sz w:val="24"/>
              </w:rPr>
              <w:t xml:space="preserve">Phytophthora </w:t>
            </w:r>
            <w:r>
              <w:rPr>
                <w:sz w:val="24"/>
              </w:rPr>
              <w:t xml:space="preserve">had been detected although it was difficult to determine whether this was a risk solely at the RBGE or throughout Scotland. The RBGE’s Science Advisory Committee was providing  advice on the issue and a partial moratorium on plant movements had been put in place. The understanding of </w:t>
            </w:r>
            <w:r>
              <w:rPr>
                <w:i/>
                <w:sz w:val="24"/>
              </w:rPr>
              <w:t xml:space="preserve">Phytophthora </w:t>
            </w:r>
            <w:r>
              <w:rPr>
                <w:sz w:val="24"/>
              </w:rPr>
              <w:t>was being improved by DNA sequencing and molecular detection. Risk assessments and checks were in</w:t>
            </w:r>
            <w:r>
              <w:rPr>
                <w:spacing w:val="-2"/>
                <w:sz w:val="24"/>
              </w:rPr>
              <w:t xml:space="preserve"> </w:t>
            </w:r>
            <w:r>
              <w:rPr>
                <w:sz w:val="24"/>
              </w:rPr>
              <w:t>place.</w:t>
            </w:r>
          </w:p>
          <w:p w14:paraId="633A8F68" w14:textId="73E1A3B8" w:rsidR="00242D14" w:rsidRDefault="00242D14" w:rsidP="00242D14">
            <w:pPr>
              <w:pStyle w:val="TableParagraph"/>
              <w:spacing w:before="11"/>
              <w:ind w:left="170"/>
              <w:jc w:val="both"/>
              <w:rPr>
                <w:sz w:val="23"/>
              </w:rPr>
            </w:pPr>
          </w:p>
        </w:tc>
        <w:tc>
          <w:tcPr>
            <w:tcW w:w="1399" w:type="dxa"/>
          </w:tcPr>
          <w:p w14:paraId="6F042D28" w14:textId="119AAF4D" w:rsidR="00242D14" w:rsidRDefault="00242D14" w:rsidP="00242D14">
            <w:pPr>
              <w:pStyle w:val="TableParagraph"/>
              <w:spacing w:before="127"/>
              <w:ind w:left="245"/>
              <w:jc w:val="both"/>
              <w:rPr>
                <w:b/>
                <w:sz w:val="24"/>
                <w:u w:val="thick"/>
              </w:rPr>
            </w:pPr>
          </w:p>
        </w:tc>
      </w:tr>
      <w:tr w:rsidR="00242D14" w14:paraId="0E98275F" w14:textId="77777777">
        <w:trPr>
          <w:trHeight w:val="551"/>
        </w:trPr>
        <w:tc>
          <w:tcPr>
            <w:tcW w:w="881" w:type="dxa"/>
          </w:tcPr>
          <w:p w14:paraId="50BA0A70" w14:textId="77777777" w:rsidR="00242D14" w:rsidRDefault="00242D14" w:rsidP="00242D14">
            <w:pPr>
              <w:pStyle w:val="TableParagraph"/>
              <w:spacing w:before="127"/>
              <w:ind w:left="41" w:right="221"/>
              <w:jc w:val="center"/>
              <w:rPr>
                <w:b/>
                <w:sz w:val="24"/>
              </w:rPr>
            </w:pPr>
            <w:r>
              <w:rPr>
                <w:b/>
                <w:sz w:val="24"/>
              </w:rPr>
              <w:t>9.0</w:t>
            </w:r>
          </w:p>
        </w:tc>
        <w:tc>
          <w:tcPr>
            <w:tcW w:w="8900" w:type="dxa"/>
            <w:gridSpan w:val="3"/>
          </w:tcPr>
          <w:p w14:paraId="0C2F5337" w14:textId="77777777" w:rsidR="00242D14" w:rsidRDefault="00242D14" w:rsidP="00242D14">
            <w:pPr>
              <w:pStyle w:val="TableParagraph"/>
              <w:spacing w:before="127"/>
              <w:ind w:left="245"/>
              <w:rPr>
                <w:b/>
                <w:sz w:val="24"/>
              </w:rPr>
            </w:pPr>
            <w:r>
              <w:rPr>
                <w:b/>
                <w:sz w:val="24"/>
                <w:u w:val="thick"/>
              </w:rPr>
              <w:t>North East Corner Project</w:t>
            </w:r>
          </w:p>
        </w:tc>
      </w:tr>
      <w:tr w:rsidR="00242D14" w14:paraId="2702763D" w14:textId="77777777" w:rsidTr="00242D14">
        <w:trPr>
          <w:trHeight w:val="411"/>
        </w:trPr>
        <w:tc>
          <w:tcPr>
            <w:tcW w:w="881" w:type="dxa"/>
          </w:tcPr>
          <w:p w14:paraId="7E2B1870" w14:textId="77777777" w:rsidR="00242D14" w:rsidRDefault="00242D14" w:rsidP="00242D14">
            <w:pPr>
              <w:pStyle w:val="TableParagraph"/>
              <w:spacing w:before="122" w:line="269" w:lineRule="exact"/>
              <w:ind w:left="41" w:right="221"/>
              <w:jc w:val="center"/>
              <w:rPr>
                <w:sz w:val="24"/>
              </w:rPr>
            </w:pPr>
            <w:r>
              <w:rPr>
                <w:sz w:val="24"/>
              </w:rPr>
              <w:t>9.1</w:t>
            </w:r>
          </w:p>
        </w:tc>
        <w:tc>
          <w:tcPr>
            <w:tcW w:w="7501" w:type="dxa"/>
            <w:gridSpan w:val="2"/>
          </w:tcPr>
          <w:p w14:paraId="37B48720" w14:textId="4D83C080" w:rsidR="00242D14" w:rsidRDefault="00242D14" w:rsidP="00242D14">
            <w:pPr>
              <w:pStyle w:val="TableParagraph"/>
              <w:spacing w:before="122" w:line="269" w:lineRule="exact"/>
              <w:ind w:left="245"/>
              <w:jc w:val="both"/>
              <w:rPr>
                <w:sz w:val="24"/>
              </w:rPr>
            </w:pPr>
            <w:r>
              <w:rPr>
                <w:sz w:val="24"/>
              </w:rPr>
              <w:t xml:space="preserve">The Secretary had provided an update at the Trustees’ Strategy Discussions </w:t>
            </w:r>
            <w:r>
              <w:rPr>
                <w:sz w:val="24"/>
              </w:rPr>
              <w:t>in the morning session. There was no change to the update provided at the</w:t>
            </w:r>
            <w:r>
              <w:rPr>
                <w:sz w:val="24"/>
              </w:rPr>
              <w:t xml:space="preserve"> </w:t>
            </w:r>
            <w:r>
              <w:rPr>
                <w:sz w:val="24"/>
              </w:rPr>
              <w:t>last Board Meeting except that a Business Plan was being prepared.</w:t>
            </w:r>
          </w:p>
        </w:tc>
        <w:tc>
          <w:tcPr>
            <w:tcW w:w="1399" w:type="dxa"/>
          </w:tcPr>
          <w:p w14:paraId="565571FA" w14:textId="1469BE41" w:rsidR="00242D14" w:rsidRDefault="00242D14" w:rsidP="00242D14">
            <w:pPr>
              <w:pStyle w:val="TableParagraph"/>
              <w:spacing w:before="122" w:line="269" w:lineRule="exact"/>
              <w:ind w:left="245"/>
              <w:jc w:val="both"/>
              <w:rPr>
                <w:sz w:val="24"/>
              </w:rPr>
            </w:pPr>
          </w:p>
        </w:tc>
      </w:tr>
      <w:tr w:rsidR="00242D14" w14:paraId="79836420" w14:textId="77777777">
        <w:trPr>
          <w:trHeight w:val="551"/>
        </w:trPr>
        <w:tc>
          <w:tcPr>
            <w:tcW w:w="881" w:type="dxa"/>
          </w:tcPr>
          <w:p w14:paraId="599E920C" w14:textId="77777777" w:rsidR="00242D14" w:rsidRDefault="00242D14" w:rsidP="00242D14">
            <w:pPr>
              <w:pStyle w:val="TableParagraph"/>
              <w:spacing w:before="127"/>
              <w:ind w:left="161" w:right="221"/>
              <w:jc w:val="center"/>
              <w:rPr>
                <w:b/>
                <w:sz w:val="24"/>
              </w:rPr>
            </w:pPr>
            <w:r>
              <w:rPr>
                <w:b/>
                <w:sz w:val="24"/>
              </w:rPr>
              <w:t>10.0</w:t>
            </w:r>
          </w:p>
        </w:tc>
        <w:tc>
          <w:tcPr>
            <w:tcW w:w="8900" w:type="dxa"/>
            <w:gridSpan w:val="3"/>
          </w:tcPr>
          <w:p w14:paraId="3355B166" w14:textId="77777777" w:rsidR="00242D14" w:rsidRDefault="00242D14" w:rsidP="00242D14">
            <w:pPr>
              <w:pStyle w:val="TableParagraph"/>
              <w:spacing w:before="127"/>
              <w:ind w:left="245"/>
              <w:rPr>
                <w:b/>
                <w:sz w:val="24"/>
              </w:rPr>
            </w:pPr>
            <w:r>
              <w:rPr>
                <w:b/>
                <w:sz w:val="24"/>
                <w:u w:val="thick"/>
              </w:rPr>
              <w:t>Economic Impact Assessment</w:t>
            </w:r>
          </w:p>
        </w:tc>
      </w:tr>
      <w:tr w:rsidR="00242D14" w14:paraId="551E031C" w14:textId="77777777">
        <w:trPr>
          <w:trHeight w:val="1380"/>
        </w:trPr>
        <w:tc>
          <w:tcPr>
            <w:tcW w:w="881" w:type="dxa"/>
          </w:tcPr>
          <w:p w14:paraId="40A52A2B" w14:textId="77777777" w:rsidR="00242D14" w:rsidRDefault="00242D14" w:rsidP="00242D14">
            <w:pPr>
              <w:pStyle w:val="TableParagraph"/>
              <w:spacing w:before="122"/>
              <w:ind w:left="161" w:right="221"/>
              <w:jc w:val="center"/>
              <w:rPr>
                <w:sz w:val="24"/>
              </w:rPr>
            </w:pPr>
            <w:r>
              <w:rPr>
                <w:sz w:val="24"/>
              </w:rPr>
              <w:t>10.1</w:t>
            </w:r>
          </w:p>
        </w:tc>
        <w:tc>
          <w:tcPr>
            <w:tcW w:w="8900" w:type="dxa"/>
            <w:gridSpan w:val="3"/>
          </w:tcPr>
          <w:p w14:paraId="1B4F87EB" w14:textId="77777777" w:rsidR="00242D14" w:rsidRDefault="00242D14" w:rsidP="00242D14">
            <w:pPr>
              <w:pStyle w:val="TableParagraph"/>
              <w:spacing w:before="122"/>
              <w:ind w:left="245" w:right="1393"/>
              <w:jc w:val="both"/>
              <w:rPr>
                <w:sz w:val="24"/>
              </w:rPr>
            </w:pPr>
            <w:r>
              <w:rPr>
                <w:sz w:val="24"/>
              </w:rPr>
              <w:t>The Secretary reported that this had originally been commissioned to support the North East Corner Project. This Report could be used to make a strong case for support to the Scottish Government as it demonstrated the RBGE’s financial benefit to Scotland and</w:t>
            </w:r>
            <w:r>
              <w:rPr>
                <w:spacing w:val="-4"/>
                <w:sz w:val="24"/>
              </w:rPr>
              <w:t xml:space="preserve"> </w:t>
            </w:r>
            <w:r>
              <w:rPr>
                <w:sz w:val="24"/>
              </w:rPr>
              <w:t>internationally.</w:t>
            </w:r>
          </w:p>
        </w:tc>
      </w:tr>
      <w:tr w:rsidR="00242D14" w14:paraId="408EFBE9" w14:textId="77777777" w:rsidTr="00965C8C">
        <w:trPr>
          <w:trHeight w:val="554"/>
        </w:trPr>
        <w:tc>
          <w:tcPr>
            <w:tcW w:w="881" w:type="dxa"/>
          </w:tcPr>
          <w:p w14:paraId="7B6A209C" w14:textId="77777777" w:rsidR="00242D14" w:rsidRDefault="00242D14" w:rsidP="00242D14">
            <w:pPr>
              <w:pStyle w:val="TableParagraph"/>
            </w:pPr>
          </w:p>
        </w:tc>
        <w:tc>
          <w:tcPr>
            <w:tcW w:w="8900" w:type="dxa"/>
            <w:gridSpan w:val="3"/>
          </w:tcPr>
          <w:p w14:paraId="7D7304E0" w14:textId="38727422" w:rsidR="00242D14" w:rsidRDefault="00242D14" w:rsidP="00242D14">
            <w:pPr>
              <w:pStyle w:val="TableParagraph"/>
            </w:pPr>
            <w:r>
              <w:rPr>
                <w:b/>
                <w:sz w:val="24"/>
              </w:rPr>
              <w:t xml:space="preserve">   </w:t>
            </w:r>
            <w:r>
              <w:rPr>
                <w:b/>
                <w:sz w:val="24"/>
                <w:u w:val="thick"/>
              </w:rPr>
              <w:t>INFORMATION ITEMS:</w:t>
            </w:r>
          </w:p>
        </w:tc>
      </w:tr>
      <w:tr w:rsidR="00242D14" w14:paraId="1168611E" w14:textId="77777777">
        <w:trPr>
          <w:trHeight w:val="549"/>
        </w:trPr>
        <w:tc>
          <w:tcPr>
            <w:tcW w:w="881" w:type="dxa"/>
          </w:tcPr>
          <w:p w14:paraId="48630145" w14:textId="77777777" w:rsidR="00242D14" w:rsidRDefault="00242D14" w:rsidP="00242D14">
            <w:pPr>
              <w:pStyle w:val="TableParagraph"/>
              <w:spacing w:before="124"/>
              <w:ind w:left="161" w:right="221"/>
              <w:jc w:val="center"/>
              <w:rPr>
                <w:b/>
                <w:sz w:val="24"/>
              </w:rPr>
            </w:pPr>
            <w:r>
              <w:rPr>
                <w:b/>
                <w:sz w:val="24"/>
              </w:rPr>
              <w:t>11.0</w:t>
            </w:r>
          </w:p>
        </w:tc>
        <w:tc>
          <w:tcPr>
            <w:tcW w:w="8900" w:type="dxa"/>
            <w:gridSpan w:val="3"/>
          </w:tcPr>
          <w:p w14:paraId="193495ED" w14:textId="77777777" w:rsidR="00242D14" w:rsidRDefault="00242D14" w:rsidP="00242D14">
            <w:pPr>
              <w:pStyle w:val="TableParagraph"/>
              <w:spacing w:before="124"/>
              <w:ind w:left="245"/>
              <w:rPr>
                <w:b/>
                <w:sz w:val="24"/>
              </w:rPr>
            </w:pPr>
            <w:r>
              <w:rPr>
                <w:b/>
                <w:sz w:val="24"/>
                <w:u w:val="thick"/>
              </w:rPr>
              <w:t>Finance Reports</w:t>
            </w:r>
          </w:p>
        </w:tc>
      </w:tr>
      <w:tr w:rsidR="00242D14" w14:paraId="0F8E85AA" w14:textId="77777777">
        <w:trPr>
          <w:trHeight w:val="549"/>
        </w:trPr>
        <w:tc>
          <w:tcPr>
            <w:tcW w:w="881" w:type="dxa"/>
          </w:tcPr>
          <w:p w14:paraId="6C628254" w14:textId="77777777" w:rsidR="00242D14" w:rsidRDefault="00242D14" w:rsidP="00242D14">
            <w:pPr>
              <w:pStyle w:val="TableParagraph"/>
              <w:spacing w:before="122"/>
              <w:ind w:left="161" w:right="221"/>
              <w:jc w:val="center"/>
              <w:rPr>
                <w:sz w:val="24"/>
              </w:rPr>
            </w:pPr>
            <w:r>
              <w:rPr>
                <w:sz w:val="24"/>
              </w:rPr>
              <w:t>11.1</w:t>
            </w:r>
          </w:p>
        </w:tc>
        <w:tc>
          <w:tcPr>
            <w:tcW w:w="8900" w:type="dxa"/>
            <w:gridSpan w:val="3"/>
          </w:tcPr>
          <w:p w14:paraId="1A2EC6D4" w14:textId="77777777" w:rsidR="00242D14" w:rsidRDefault="00242D14" w:rsidP="00242D14">
            <w:pPr>
              <w:pStyle w:val="TableParagraph"/>
              <w:spacing w:before="122"/>
              <w:ind w:left="245"/>
              <w:rPr>
                <w:sz w:val="24"/>
              </w:rPr>
            </w:pPr>
            <w:r>
              <w:rPr>
                <w:sz w:val="24"/>
                <w:u w:val="single"/>
              </w:rPr>
              <w:t>Draft Annual Report and Accounts 2015/16 for Approval</w:t>
            </w:r>
          </w:p>
        </w:tc>
      </w:tr>
      <w:tr w:rsidR="00242D14" w14:paraId="42F0A711" w14:textId="77777777">
        <w:trPr>
          <w:trHeight w:val="2890"/>
        </w:trPr>
        <w:tc>
          <w:tcPr>
            <w:tcW w:w="881" w:type="dxa"/>
          </w:tcPr>
          <w:p w14:paraId="69AA8BA5" w14:textId="77777777" w:rsidR="00242D14" w:rsidRDefault="00242D14" w:rsidP="00242D14">
            <w:pPr>
              <w:pStyle w:val="TableParagraph"/>
            </w:pPr>
          </w:p>
        </w:tc>
        <w:tc>
          <w:tcPr>
            <w:tcW w:w="8900" w:type="dxa"/>
            <w:gridSpan w:val="3"/>
          </w:tcPr>
          <w:p w14:paraId="4EBC1E52" w14:textId="77777777" w:rsidR="00242D14" w:rsidRDefault="00242D14" w:rsidP="00242D14">
            <w:pPr>
              <w:pStyle w:val="TableParagraph"/>
              <w:spacing w:before="124"/>
              <w:ind w:left="245" w:right="1393"/>
              <w:jc w:val="both"/>
              <w:rPr>
                <w:sz w:val="24"/>
              </w:rPr>
            </w:pPr>
            <w:r>
              <w:rPr>
                <w:sz w:val="24"/>
              </w:rPr>
              <w:t>The Head of Finance reported that the Audit Committee had considered the ‘Draft Annual Report and Accounts 2015/16’ at their meeting on 21 September 2016. Audit Scotland (external auditors) had provided an unqualified audit opinion which would allow the Chairman and Regius Keeper to sign off the Accounts. The main adjustment had been the transfer of capital into revenue. A small item of £7k had been left unadjusted with the agreement of Audit Scotland. The Accounts were consistent  with  the  new  SORP.   The  issue  of  the  independence  of</w:t>
            </w:r>
            <w:r>
              <w:rPr>
                <w:spacing w:val="18"/>
                <w:sz w:val="24"/>
              </w:rPr>
              <w:t xml:space="preserve"> </w:t>
            </w:r>
            <w:r>
              <w:rPr>
                <w:sz w:val="24"/>
              </w:rPr>
              <w:t>the</w:t>
            </w:r>
          </w:p>
          <w:p w14:paraId="21E4006A" w14:textId="77777777" w:rsidR="00242D14" w:rsidRDefault="00242D14" w:rsidP="00242D14">
            <w:pPr>
              <w:pStyle w:val="TableParagraph"/>
              <w:spacing w:before="5" w:line="274" w:lineRule="exact"/>
              <w:ind w:left="245" w:right="1389"/>
              <w:jc w:val="both"/>
              <w:rPr>
                <w:sz w:val="24"/>
              </w:rPr>
            </w:pPr>
            <w:r>
              <w:rPr>
                <w:sz w:val="24"/>
              </w:rPr>
              <w:t>Botanics Foundation had been agreed that whilst the RBGE was receiving benefit  it  did  not exercise  control  of  the  Foundation  but  this  would</w:t>
            </w:r>
            <w:r>
              <w:rPr>
                <w:spacing w:val="-19"/>
                <w:sz w:val="24"/>
              </w:rPr>
              <w:t xml:space="preserve"> </w:t>
            </w:r>
            <w:r>
              <w:rPr>
                <w:sz w:val="24"/>
              </w:rPr>
              <w:t>be</w:t>
            </w:r>
          </w:p>
        </w:tc>
      </w:tr>
    </w:tbl>
    <w:p w14:paraId="254618BC" w14:textId="77777777" w:rsidR="00BC7EAF" w:rsidRDefault="00BC7EAF">
      <w:pPr>
        <w:spacing w:line="274" w:lineRule="exact"/>
        <w:jc w:val="both"/>
        <w:rPr>
          <w:sz w:val="24"/>
        </w:rPr>
        <w:sectPr w:rsidR="00BC7EAF">
          <w:pgSz w:w="11910" w:h="16840"/>
          <w:pgMar w:top="1000" w:right="660" w:bottom="560" w:left="1100" w:header="0" w:footer="38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963"/>
        <w:gridCol w:w="7667"/>
        <w:gridCol w:w="1206"/>
      </w:tblGrid>
      <w:tr w:rsidR="00BC7EAF" w14:paraId="3831AB96" w14:textId="77777777">
        <w:trPr>
          <w:trHeight w:val="1512"/>
        </w:trPr>
        <w:tc>
          <w:tcPr>
            <w:tcW w:w="963" w:type="dxa"/>
          </w:tcPr>
          <w:p w14:paraId="0D2FAACF" w14:textId="77777777" w:rsidR="00BC7EAF" w:rsidRDefault="00C8434D">
            <w:pPr>
              <w:pStyle w:val="TableParagraph"/>
              <w:spacing w:line="258" w:lineRule="exact"/>
              <w:ind w:left="200"/>
              <w:rPr>
                <w:sz w:val="24"/>
              </w:rPr>
            </w:pPr>
            <w:r>
              <w:rPr>
                <w:sz w:val="24"/>
                <w:u w:val="single"/>
              </w:rPr>
              <w:lastRenderedPageBreak/>
              <w:t>Item</w:t>
            </w:r>
          </w:p>
        </w:tc>
        <w:tc>
          <w:tcPr>
            <w:tcW w:w="7667" w:type="dxa"/>
          </w:tcPr>
          <w:p w14:paraId="78B877C0" w14:textId="77777777" w:rsidR="00BC7EAF" w:rsidRDefault="00C8434D">
            <w:pPr>
              <w:pStyle w:val="TableParagraph"/>
              <w:spacing w:line="258" w:lineRule="exact"/>
              <w:ind w:left="163"/>
              <w:jc w:val="both"/>
              <w:rPr>
                <w:sz w:val="24"/>
              </w:rPr>
            </w:pPr>
            <w:r>
              <w:rPr>
                <w:sz w:val="24"/>
                <w:u w:val="single"/>
              </w:rPr>
              <w:t>Narrative &amp; Decisions</w:t>
            </w:r>
          </w:p>
          <w:p w14:paraId="57D6F590" w14:textId="77777777" w:rsidR="00BC7EAF" w:rsidRDefault="00BC7EAF">
            <w:pPr>
              <w:pStyle w:val="TableParagraph"/>
              <w:rPr>
                <w:sz w:val="24"/>
              </w:rPr>
            </w:pPr>
          </w:p>
          <w:p w14:paraId="6C97760B" w14:textId="77777777" w:rsidR="00BC7EAF" w:rsidRDefault="00C8434D">
            <w:pPr>
              <w:pStyle w:val="TableParagraph"/>
              <w:spacing w:line="270" w:lineRule="atLeast"/>
              <w:ind w:left="163" w:right="242"/>
              <w:jc w:val="both"/>
              <w:rPr>
                <w:sz w:val="24"/>
              </w:rPr>
            </w:pPr>
            <w:r>
              <w:rPr>
                <w:sz w:val="24"/>
              </w:rPr>
              <w:t>reviewed annually. A new Audit Scotland Audit Team were now in place. The Regius Keeper would be asked to sign a ‘Letter of Representation’ and this was agreed. Audit Scotland would then sign off the Accounts and  send</w:t>
            </w:r>
            <w:r>
              <w:rPr>
                <w:spacing w:val="23"/>
                <w:sz w:val="24"/>
              </w:rPr>
              <w:t xml:space="preserve"> </w:t>
            </w:r>
            <w:r>
              <w:rPr>
                <w:sz w:val="24"/>
              </w:rPr>
              <w:t>to</w:t>
            </w:r>
            <w:r>
              <w:rPr>
                <w:spacing w:val="23"/>
                <w:sz w:val="24"/>
              </w:rPr>
              <w:t xml:space="preserve"> </w:t>
            </w:r>
            <w:r>
              <w:rPr>
                <w:sz w:val="24"/>
              </w:rPr>
              <w:t>Rural</w:t>
            </w:r>
            <w:r>
              <w:rPr>
                <w:spacing w:val="24"/>
                <w:sz w:val="24"/>
              </w:rPr>
              <w:t xml:space="preserve"> </w:t>
            </w:r>
            <w:r>
              <w:rPr>
                <w:sz w:val="24"/>
              </w:rPr>
              <w:t>and</w:t>
            </w:r>
            <w:r>
              <w:rPr>
                <w:spacing w:val="23"/>
                <w:sz w:val="24"/>
              </w:rPr>
              <w:t xml:space="preserve"> </w:t>
            </w:r>
            <w:r>
              <w:rPr>
                <w:sz w:val="24"/>
              </w:rPr>
              <w:t>Environment</w:t>
            </w:r>
            <w:r>
              <w:rPr>
                <w:spacing w:val="23"/>
                <w:sz w:val="24"/>
              </w:rPr>
              <w:t xml:space="preserve"> </w:t>
            </w:r>
            <w:r>
              <w:rPr>
                <w:sz w:val="24"/>
              </w:rPr>
              <w:t>Science</w:t>
            </w:r>
            <w:r>
              <w:rPr>
                <w:spacing w:val="23"/>
                <w:sz w:val="24"/>
              </w:rPr>
              <w:t xml:space="preserve"> </w:t>
            </w:r>
            <w:r>
              <w:rPr>
                <w:sz w:val="24"/>
              </w:rPr>
              <w:t>and</w:t>
            </w:r>
            <w:r>
              <w:rPr>
                <w:spacing w:val="23"/>
                <w:sz w:val="24"/>
              </w:rPr>
              <w:t xml:space="preserve"> </w:t>
            </w:r>
            <w:r>
              <w:rPr>
                <w:sz w:val="24"/>
              </w:rPr>
              <w:t>Analytical</w:t>
            </w:r>
            <w:r>
              <w:rPr>
                <w:spacing w:val="24"/>
                <w:sz w:val="24"/>
              </w:rPr>
              <w:t xml:space="preserve"> </w:t>
            </w:r>
            <w:r>
              <w:rPr>
                <w:sz w:val="24"/>
              </w:rPr>
              <w:t>Services</w:t>
            </w:r>
            <w:r>
              <w:rPr>
                <w:spacing w:val="23"/>
                <w:sz w:val="24"/>
              </w:rPr>
              <w:t xml:space="preserve"> </w:t>
            </w:r>
            <w:r>
              <w:rPr>
                <w:sz w:val="24"/>
              </w:rPr>
              <w:t>Division</w:t>
            </w:r>
          </w:p>
        </w:tc>
        <w:tc>
          <w:tcPr>
            <w:tcW w:w="1206" w:type="dxa"/>
          </w:tcPr>
          <w:p w14:paraId="099870F2" w14:textId="77777777" w:rsidR="00BC7EAF" w:rsidRDefault="00C8434D">
            <w:pPr>
              <w:pStyle w:val="TableParagraph"/>
              <w:spacing w:line="258" w:lineRule="exact"/>
              <w:ind w:left="298"/>
              <w:rPr>
                <w:sz w:val="24"/>
              </w:rPr>
            </w:pPr>
            <w:r>
              <w:rPr>
                <w:sz w:val="24"/>
                <w:u w:val="single"/>
              </w:rPr>
              <w:t>Action</w:t>
            </w:r>
          </w:p>
        </w:tc>
      </w:tr>
      <w:tr w:rsidR="00BC7EAF" w14:paraId="39C5CD4D" w14:textId="77777777">
        <w:trPr>
          <w:trHeight w:val="8154"/>
        </w:trPr>
        <w:tc>
          <w:tcPr>
            <w:tcW w:w="963" w:type="dxa"/>
          </w:tcPr>
          <w:p w14:paraId="649071C1" w14:textId="77777777" w:rsidR="00BC7EAF" w:rsidRDefault="00BC7EAF">
            <w:pPr>
              <w:pStyle w:val="TableParagraph"/>
              <w:rPr>
                <w:sz w:val="26"/>
              </w:rPr>
            </w:pPr>
          </w:p>
          <w:p w14:paraId="1468F845" w14:textId="77777777" w:rsidR="00BC7EAF" w:rsidRDefault="00BC7EAF">
            <w:pPr>
              <w:pStyle w:val="TableParagraph"/>
              <w:rPr>
                <w:sz w:val="26"/>
              </w:rPr>
            </w:pPr>
          </w:p>
          <w:p w14:paraId="1A092BE9" w14:textId="77777777" w:rsidR="00BC7EAF" w:rsidRDefault="00BC7EAF">
            <w:pPr>
              <w:pStyle w:val="TableParagraph"/>
              <w:rPr>
                <w:sz w:val="26"/>
              </w:rPr>
            </w:pPr>
          </w:p>
          <w:p w14:paraId="6CE65000" w14:textId="77777777" w:rsidR="00BC7EAF" w:rsidRDefault="00C8434D">
            <w:pPr>
              <w:pStyle w:val="TableParagraph"/>
              <w:spacing w:before="207"/>
              <w:ind w:left="200"/>
              <w:rPr>
                <w:sz w:val="24"/>
              </w:rPr>
            </w:pPr>
            <w:r>
              <w:rPr>
                <w:sz w:val="24"/>
              </w:rPr>
              <w:t>11.2</w:t>
            </w:r>
          </w:p>
          <w:p w14:paraId="5A97FF58" w14:textId="77777777" w:rsidR="00BC7EAF" w:rsidRDefault="00BC7EAF">
            <w:pPr>
              <w:pStyle w:val="TableParagraph"/>
              <w:rPr>
                <w:sz w:val="26"/>
              </w:rPr>
            </w:pPr>
          </w:p>
          <w:p w14:paraId="142BA9D0" w14:textId="77777777" w:rsidR="00BC7EAF" w:rsidRDefault="00BC7EAF">
            <w:pPr>
              <w:pStyle w:val="TableParagraph"/>
              <w:rPr>
                <w:sz w:val="26"/>
              </w:rPr>
            </w:pPr>
          </w:p>
          <w:p w14:paraId="6A1E580B" w14:textId="77777777" w:rsidR="00BC7EAF" w:rsidRDefault="00BC7EAF">
            <w:pPr>
              <w:pStyle w:val="TableParagraph"/>
              <w:rPr>
                <w:sz w:val="26"/>
              </w:rPr>
            </w:pPr>
          </w:p>
          <w:p w14:paraId="292482C7" w14:textId="77777777" w:rsidR="00BC7EAF" w:rsidRDefault="00BC7EAF">
            <w:pPr>
              <w:pStyle w:val="TableParagraph"/>
              <w:rPr>
                <w:sz w:val="26"/>
              </w:rPr>
            </w:pPr>
          </w:p>
          <w:p w14:paraId="78B9CB88" w14:textId="77777777" w:rsidR="00BC7EAF" w:rsidRDefault="00C8434D">
            <w:pPr>
              <w:pStyle w:val="TableParagraph"/>
              <w:spacing w:before="184"/>
              <w:ind w:left="200"/>
              <w:rPr>
                <w:sz w:val="24"/>
              </w:rPr>
            </w:pPr>
            <w:r>
              <w:rPr>
                <w:sz w:val="24"/>
              </w:rPr>
              <w:t>11.3</w:t>
            </w:r>
          </w:p>
          <w:p w14:paraId="0AC205F0" w14:textId="77777777" w:rsidR="00BC7EAF" w:rsidRDefault="00BC7EAF">
            <w:pPr>
              <w:pStyle w:val="TableParagraph"/>
              <w:rPr>
                <w:sz w:val="26"/>
              </w:rPr>
            </w:pPr>
          </w:p>
          <w:p w14:paraId="506A8075" w14:textId="77777777" w:rsidR="00BC7EAF" w:rsidRDefault="00BC7EAF">
            <w:pPr>
              <w:pStyle w:val="TableParagraph"/>
              <w:rPr>
                <w:sz w:val="26"/>
              </w:rPr>
            </w:pPr>
          </w:p>
          <w:p w14:paraId="20CEF228" w14:textId="77777777" w:rsidR="00BC7EAF" w:rsidRDefault="00BC7EAF">
            <w:pPr>
              <w:pStyle w:val="TableParagraph"/>
              <w:rPr>
                <w:sz w:val="26"/>
              </w:rPr>
            </w:pPr>
          </w:p>
          <w:p w14:paraId="3E2CA05A" w14:textId="77777777" w:rsidR="00BC7EAF" w:rsidRDefault="00BC7EAF">
            <w:pPr>
              <w:pStyle w:val="TableParagraph"/>
              <w:rPr>
                <w:sz w:val="26"/>
              </w:rPr>
            </w:pPr>
          </w:p>
          <w:p w14:paraId="511082E6" w14:textId="77777777" w:rsidR="00BC7EAF" w:rsidRDefault="00BC7EAF">
            <w:pPr>
              <w:pStyle w:val="TableParagraph"/>
              <w:rPr>
                <w:sz w:val="26"/>
              </w:rPr>
            </w:pPr>
          </w:p>
          <w:p w14:paraId="017A821B" w14:textId="77777777" w:rsidR="00BC7EAF" w:rsidRDefault="00BC7EAF">
            <w:pPr>
              <w:pStyle w:val="TableParagraph"/>
              <w:rPr>
                <w:sz w:val="26"/>
              </w:rPr>
            </w:pPr>
          </w:p>
          <w:p w14:paraId="53DE0366" w14:textId="77777777" w:rsidR="00BC7EAF" w:rsidRDefault="00BC7EAF">
            <w:pPr>
              <w:pStyle w:val="TableParagraph"/>
              <w:rPr>
                <w:sz w:val="26"/>
              </w:rPr>
            </w:pPr>
          </w:p>
          <w:p w14:paraId="073545BD" w14:textId="77777777" w:rsidR="00BC7EAF" w:rsidRDefault="00BC7EAF">
            <w:pPr>
              <w:pStyle w:val="TableParagraph"/>
              <w:rPr>
                <w:sz w:val="34"/>
              </w:rPr>
            </w:pPr>
          </w:p>
          <w:p w14:paraId="21C10EE5" w14:textId="77777777" w:rsidR="00BC7EAF" w:rsidRDefault="00C8434D">
            <w:pPr>
              <w:pStyle w:val="TableParagraph"/>
              <w:ind w:left="200"/>
              <w:rPr>
                <w:sz w:val="24"/>
              </w:rPr>
            </w:pPr>
            <w:r>
              <w:rPr>
                <w:sz w:val="24"/>
              </w:rPr>
              <w:t>11.4</w:t>
            </w:r>
          </w:p>
          <w:p w14:paraId="0665399E" w14:textId="77777777" w:rsidR="00BC7EAF" w:rsidRDefault="00BC7EAF">
            <w:pPr>
              <w:pStyle w:val="TableParagraph"/>
              <w:rPr>
                <w:sz w:val="26"/>
              </w:rPr>
            </w:pPr>
          </w:p>
          <w:p w14:paraId="74600E61" w14:textId="77777777" w:rsidR="00BC7EAF" w:rsidRDefault="00BC7EAF">
            <w:pPr>
              <w:pStyle w:val="TableParagraph"/>
              <w:rPr>
                <w:sz w:val="26"/>
              </w:rPr>
            </w:pPr>
          </w:p>
          <w:p w14:paraId="241490FB" w14:textId="77777777" w:rsidR="00BC7EAF" w:rsidRDefault="00BC7EAF">
            <w:pPr>
              <w:pStyle w:val="TableParagraph"/>
              <w:rPr>
                <w:sz w:val="26"/>
              </w:rPr>
            </w:pPr>
          </w:p>
          <w:p w14:paraId="440ABCD5" w14:textId="77777777" w:rsidR="00BC7EAF" w:rsidRDefault="00BC7EAF">
            <w:pPr>
              <w:pStyle w:val="TableParagraph"/>
              <w:rPr>
                <w:sz w:val="26"/>
              </w:rPr>
            </w:pPr>
          </w:p>
          <w:p w14:paraId="6AFB1470" w14:textId="77777777" w:rsidR="00BC7EAF" w:rsidRDefault="00C8434D">
            <w:pPr>
              <w:pStyle w:val="TableParagraph"/>
              <w:spacing w:before="184"/>
              <w:ind w:left="200"/>
              <w:rPr>
                <w:sz w:val="24"/>
              </w:rPr>
            </w:pPr>
            <w:r>
              <w:rPr>
                <w:sz w:val="24"/>
              </w:rPr>
              <w:t>11.5</w:t>
            </w:r>
          </w:p>
          <w:p w14:paraId="3D4BFD74" w14:textId="77777777" w:rsidR="00BC7EAF" w:rsidRDefault="00BC7EAF">
            <w:pPr>
              <w:pStyle w:val="TableParagraph"/>
              <w:rPr>
                <w:sz w:val="24"/>
              </w:rPr>
            </w:pPr>
          </w:p>
          <w:p w14:paraId="27473338" w14:textId="77777777" w:rsidR="00BC7EAF" w:rsidRDefault="00C8434D">
            <w:pPr>
              <w:pStyle w:val="TableParagraph"/>
              <w:ind w:left="200"/>
              <w:rPr>
                <w:sz w:val="24"/>
              </w:rPr>
            </w:pPr>
            <w:r>
              <w:rPr>
                <w:sz w:val="24"/>
              </w:rPr>
              <w:t>11.5.1</w:t>
            </w:r>
          </w:p>
        </w:tc>
        <w:tc>
          <w:tcPr>
            <w:tcW w:w="7667" w:type="dxa"/>
            <w:vMerge w:val="restart"/>
          </w:tcPr>
          <w:p w14:paraId="7184AA48" w14:textId="77777777" w:rsidR="00BC7EAF" w:rsidRDefault="00C8434D">
            <w:pPr>
              <w:pStyle w:val="TableParagraph"/>
              <w:ind w:left="163" w:right="238"/>
              <w:jc w:val="both"/>
              <w:rPr>
                <w:sz w:val="24"/>
              </w:rPr>
            </w:pPr>
            <w:r>
              <w:rPr>
                <w:sz w:val="24"/>
              </w:rPr>
              <w:t>(RESAS) where they would be laid before Parliament then put on the website of the RBGE and The Office of the Scottish Charity Regulator (OSCR).</w:t>
            </w:r>
          </w:p>
          <w:p w14:paraId="09857C2D" w14:textId="77777777" w:rsidR="00BC7EAF" w:rsidRDefault="00BC7EAF">
            <w:pPr>
              <w:pStyle w:val="TableParagraph"/>
              <w:rPr>
                <w:sz w:val="24"/>
              </w:rPr>
            </w:pPr>
          </w:p>
          <w:p w14:paraId="60F9931A" w14:textId="77777777" w:rsidR="00BC7EAF" w:rsidRDefault="00C8434D">
            <w:pPr>
              <w:pStyle w:val="TableParagraph"/>
              <w:ind w:left="163"/>
              <w:jc w:val="both"/>
              <w:rPr>
                <w:sz w:val="24"/>
              </w:rPr>
            </w:pPr>
            <w:r>
              <w:rPr>
                <w:sz w:val="24"/>
                <w:u w:val="single"/>
              </w:rPr>
              <w:t>Botanics Trading Company (BTC) Accounts</w:t>
            </w:r>
          </w:p>
          <w:p w14:paraId="618D3498" w14:textId="77777777" w:rsidR="00BC7EAF" w:rsidRDefault="00BC7EAF">
            <w:pPr>
              <w:pStyle w:val="TableParagraph"/>
              <w:rPr>
                <w:sz w:val="24"/>
              </w:rPr>
            </w:pPr>
          </w:p>
          <w:p w14:paraId="0127977F" w14:textId="77777777" w:rsidR="00BC7EAF" w:rsidRDefault="00C8434D">
            <w:pPr>
              <w:pStyle w:val="TableParagraph"/>
              <w:ind w:left="163" w:right="244"/>
              <w:jc w:val="both"/>
              <w:rPr>
                <w:sz w:val="24"/>
              </w:rPr>
            </w:pPr>
            <w:r>
              <w:rPr>
                <w:sz w:val="24"/>
              </w:rPr>
              <w:t>These were provided for the Board of Trustees’ information and had been presented previously to the Audit Committee and the BTC Board and had now been signed off.</w:t>
            </w:r>
          </w:p>
          <w:p w14:paraId="66EB824E" w14:textId="77777777" w:rsidR="00BC7EAF" w:rsidRDefault="00BC7EAF">
            <w:pPr>
              <w:pStyle w:val="TableParagraph"/>
              <w:rPr>
                <w:sz w:val="24"/>
              </w:rPr>
            </w:pPr>
          </w:p>
          <w:p w14:paraId="73F2D9C1" w14:textId="77777777" w:rsidR="00BC7EAF" w:rsidRDefault="00C8434D">
            <w:pPr>
              <w:pStyle w:val="TableParagraph"/>
              <w:ind w:left="163"/>
              <w:jc w:val="both"/>
              <w:rPr>
                <w:sz w:val="24"/>
              </w:rPr>
            </w:pPr>
            <w:r>
              <w:rPr>
                <w:sz w:val="24"/>
                <w:u w:val="single"/>
              </w:rPr>
              <w:t>Finance Update</w:t>
            </w:r>
          </w:p>
          <w:p w14:paraId="4698AA3D" w14:textId="77777777" w:rsidR="00BC7EAF" w:rsidRDefault="00BC7EAF">
            <w:pPr>
              <w:pStyle w:val="TableParagraph"/>
              <w:rPr>
                <w:sz w:val="24"/>
              </w:rPr>
            </w:pPr>
          </w:p>
          <w:p w14:paraId="69C7BA01" w14:textId="77777777" w:rsidR="00BC7EAF" w:rsidRDefault="00C8434D">
            <w:pPr>
              <w:pStyle w:val="TableParagraph"/>
              <w:ind w:left="163" w:right="239"/>
              <w:jc w:val="both"/>
              <w:rPr>
                <w:sz w:val="24"/>
              </w:rPr>
            </w:pPr>
            <w:r>
              <w:rPr>
                <w:sz w:val="24"/>
              </w:rPr>
              <w:t>The Head of Finance reported on the overall financial position and the initi</w:t>
            </w:r>
            <w:r>
              <w:rPr>
                <w:sz w:val="24"/>
              </w:rPr>
              <w:t xml:space="preserve">al forecast for the year end. </w:t>
            </w:r>
            <w:r>
              <w:rPr>
                <w:spacing w:val="-3"/>
                <w:sz w:val="24"/>
              </w:rPr>
              <w:t xml:space="preserve">It </w:t>
            </w:r>
            <w:r>
              <w:rPr>
                <w:sz w:val="24"/>
              </w:rPr>
              <w:t>was noted that there had been lower than forecast staff turnover which would impact on the savings target, and that the subject of adjusting annual leave accruals was being discussed with the Trade Union. Only £40k of fundi</w:t>
            </w:r>
            <w:r>
              <w:rPr>
                <w:sz w:val="24"/>
              </w:rPr>
              <w:t>ng remained in the capital plan after expenditure on the Nursery was taken into account. A meeting to decide the priorities for capital funding would be</w:t>
            </w:r>
            <w:r>
              <w:rPr>
                <w:spacing w:val="-7"/>
                <w:sz w:val="24"/>
              </w:rPr>
              <w:t xml:space="preserve"> </w:t>
            </w:r>
            <w:r>
              <w:rPr>
                <w:sz w:val="24"/>
              </w:rPr>
              <w:t>held.</w:t>
            </w:r>
          </w:p>
          <w:p w14:paraId="2E379C05" w14:textId="77777777" w:rsidR="00BC7EAF" w:rsidRDefault="00BC7EAF">
            <w:pPr>
              <w:pStyle w:val="TableParagraph"/>
              <w:rPr>
                <w:sz w:val="24"/>
              </w:rPr>
            </w:pPr>
          </w:p>
          <w:p w14:paraId="2669359F" w14:textId="77777777" w:rsidR="00BC7EAF" w:rsidRDefault="00C8434D">
            <w:pPr>
              <w:pStyle w:val="TableParagraph"/>
              <w:ind w:left="163"/>
              <w:jc w:val="both"/>
              <w:rPr>
                <w:sz w:val="24"/>
              </w:rPr>
            </w:pPr>
            <w:r>
              <w:rPr>
                <w:sz w:val="24"/>
                <w:u w:val="single"/>
              </w:rPr>
              <w:t>Finance Report for the Period to 31 August 2016</w:t>
            </w:r>
          </w:p>
          <w:p w14:paraId="2D3AEB61" w14:textId="77777777" w:rsidR="00BC7EAF" w:rsidRDefault="00BC7EAF">
            <w:pPr>
              <w:pStyle w:val="TableParagraph"/>
              <w:rPr>
                <w:sz w:val="24"/>
              </w:rPr>
            </w:pPr>
          </w:p>
          <w:p w14:paraId="4864C12E" w14:textId="77777777" w:rsidR="00BC7EAF" w:rsidRDefault="00C8434D">
            <w:pPr>
              <w:pStyle w:val="TableParagraph"/>
              <w:ind w:left="163" w:right="242"/>
              <w:jc w:val="both"/>
              <w:rPr>
                <w:sz w:val="24"/>
              </w:rPr>
            </w:pPr>
            <w:r>
              <w:rPr>
                <w:sz w:val="24"/>
              </w:rPr>
              <w:t>This was discussed under item 11.3. Trustees of</w:t>
            </w:r>
            <w:r>
              <w:rPr>
                <w:sz w:val="24"/>
              </w:rPr>
              <w:t>fered their congratulations to the Director of Enterprise and her team for successfully taking the shop back in house with a plan to increase income.</w:t>
            </w:r>
          </w:p>
          <w:p w14:paraId="5C53CC7D" w14:textId="77777777" w:rsidR="00BC7EAF" w:rsidRDefault="00BC7EAF">
            <w:pPr>
              <w:pStyle w:val="TableParagraph"/>
              <w:rPr>
                <w:sz w:val="24"/>
              </w:rPr>
            </w:pPr>
          </w:p>
          <w:p w14:paraId="15D8BBE4" w14:textId="77777777" w:rsidR="00BC7EAF" w:rsidRDefault="00C8434D">
            <w:pPr>
              <w:pStyle w:val="TableParagraph"/>
              <w:ind w:left="163"/>
              <w:jc w:val="both"/>
              <w:rPr>
                <w:sz w:val="24"/>
              </w:rPr>
            </w:pPr>
            <w:r>
              <w:rPr>
                <w:b/>
                <w:sz w:val="24"/>
                <w:u w:val="thick"/>
              </w:rPr>
              <w:t>Decision</w:t>
            </w:r>
            <w:r>
              <w:rPr>
                <w:b/>
                <w:sz w:val="24"/>
              </w:rPr>
              <w:t xml:space="preserve">. </w:t>
            </w:r>
            <w:r>
              <w:rPr>
                <w:sz w:val="24"/>
              </w:rPr>
              <w:t>It was agreed that:</w:t>
            </w:r>
          </w:p>
          <w:p w14:paraId="36ACE38F" w14:textId="77777777" w:rsidR="00BC7EAF" w:rsidRDefault="00BC7EAF">
            <w:pPr>
              <w:pStyle w:val="TableParagraph"/>
              <w:rPr>
                <w:sz w:val="24"/>
              </w:rPr>
            </w:pPr>
          </w:p>
          <w:p w14:paraId="21A2B49A" w14:textId="77777777" w:rsidR="00BC7EAF" w:rsidRDefault="00C8434D">
            <w:pPr>
              <w:pStyle w:val="TableParagraph"/>
              <w:ind w:left="163"/>
              <w:jc w:val="both"/>
              <w:rPr>
                <w:sz w:val="24"/>
              </w:rPr>
            </w:pPr>
            <w:r>
              <w:rPr>
                <w:sz w:val="24"/>
                <w:u w:val="single"/>
              </w:rPr>
              <w:t>Draft Annual Report and Accounts 2015/16 for Approval</w:t>
            </w:r>
          </w:p>
          <w:p w14:paraId="79F72EA4" w14:textId="77777777" w:rsidR="00BC7EAF" w:rsidRDefault="00BC7EAF">
            <w:pPr>
              <w:pStyle w:val="TableParagraph"/>
              <w:rPr>
                <w:sz w:val="24"/>
              </w:rPr>
            </w:pPr>
          </w:p>
          <w:p w14:paraId="1AC53A59" w14:textId="77777777" w:rsidR="00BC7EAF" w:rsidRDefault="00C8434D">
            <w:pPr>
              <w:pStyle w:val="TableParagraph"/>
              <w:spacing w:before="1"/>
              <w:ind w:left="163" w:right="242"/>
              <w:jc w:val="both"/>
              <w:rPr>
                <w:sz w:val="24"/>
              </w:rPr>
            </w:pPr>
            <w:r>
              <w:rPr>
                <w:sz w:val="24"/>
              </w:rPr>
              <w:t>The Head of Finance would ask the Chairman and Regius Keeper to sign off the ‘Draft Annual Report and Accounts 2015/16’ and the Regius Keeper would sign the ‘Letter of</w:t>
            </w:r>
            <w:r>
              <w:rPr>
                <w:spacing w:val="-6"/>
                <w:sz w:val="24"/>
              </w:rPr>
              <w:t xml:space="preserve"> </w:t>
            </w:r>
            <w:r>
              <w:rPr>
                <w:sz w:val="24"/>
              </w:rPr>
              <w:t>Representation’.</w:t>
            </w:r>
          </w:p>
        </w:tc>
        <w:tc>
          <w:tcPr>
            <w:tcW w:w="1206" w:type="dxa"/>
          </w:tcPr>
          <w:p w14:paraId="1B5C2A0C" w14:textId="77777777" w:rsidR="00BC7EAF" w:rsidRDefault="00BC7EAF">
            <w:pPr>
              <w:pStyle w:val="TableParagraph"/>
            </w:pPr>
          </w:p>
        </w:tc>
      </w:tr>
      <w:tr w:rsidR="00BC7EAF" w14:paraId="07AB1F9C" w14:textId="77777777">
        <w:trPr>
          <w:trHeight w:val="1106"/>
        </w:trPr>
        <w:tc>
          <w:tcPr>
            <w:tcW w:w="963" w:type="dxa"/>
          </w:tcPr>
          <w:p w14:paraId="7461CCA0" w14:textId="77777777" w:rsidR="00BC7EAF" w:rsidRDefault="00BC7EAF">
            <w:pPr>
              <w:pStyle w:val="TableParagraph"/>
            </w:pPr>
          </w:p>
        </w:tc>
        <w:tc>
          <w:tcPr>
            <w:tcW w:w="7667" w:type="dxa"/>
            <w:vMerge/>
            <w:tcBorders>
              <w:top w:val="nil"/>
            </w:tcBorders>
          </w:tcPr>
          <w:p w14:paraId="66F4052B" w14:textId="77777777" w:rsidR="00BC7EAF" w:rsidRDefault="00BC7EAF">
            <w:pPr>
              <w:rPr>
                <w:sz w:val="2"/>
                <w:szCs w:val="2"/>
              </w:rPr>
            </w:pPr>
          </w:p>
        </w:tc>
        <w:tc>
          <w:tcPr>
            <w:tcW w:w="1206" w:type="dxa"/>
          </w:tcPr>
          <w:p w14:paraId="3A7723F4" w14:textId="77777777" w:rsidR="00BC7EAF" w:rsidRDefault="00C8434D">
            <w:pPr>
              <w:pStyle w:val="TableParagraph"/>
              <w:spacing w:before="124"/>
              <w:ind w:left="245" w:right="177" w:hanging="3"/>
              <w:rPr>
                <w:sz w:val="24"/>
              </w:rPr>
            </w:pPr>
            <w:r>
              <w:rPr>
                <w:sz w:val="24"/>
              </w:rPr>
              <w:t>Head of Finance</w:t>
            </w:r>
          </w:p>
        </w:tc>
      </w:tr>
      <w:tr w:rsidR="00BC7EAF" w14:paraId="4C9B29D5" w14:textId="77777777">
        <w:trPr>
          <w:trHeight w:val="3166"/>
        </w:trPr>
        <w:tc>
          <w:tcPr>
            <w:tcW w:w="963" w:type="dxa"/>
          </w:tcPr>
          <w:p w14:paraId="4AE86097" w14:textId="77777777" w:rsidR="00BC7EAF" w:rsidRDefault="00C8434D">
            <w:pPr>
              <w:pStyle w:val="TableParagraph"/>
              <w:spacing w:before="127"/>
              <w:ind w:left="200"/>
              <w:rPr>
                <w:b/>
                <w:sz w:val="24"/>
              </w:rPr>
            </w:pPr>
            <w:r>
              <w:rPr>
                <w:b/>
                <w:sz w:val="24"/>
              </w:rPr>
              <w:t>12.0</w:t>
            </w:r>
          </w:p>
          <w:p w14:paraId="4FCE4E2E" w14:textId="77777777" w:rsidR="00BC7EAF" w:rsidRDefault="00BC7EAF">
            <w:pPr>
              <w:pStyle w:val="TableParagraph"/>
              <w:spacing w:before="6"/>
              <w:rPr>
                <w:sz w:val="23"/>
              </w:rPr>
            </w:pPr>
          </w:p>
          <w:p w14:paraId="389A25EF" w14:textId="77777777" w:rsidR="00BC7EAF" w:rsidRDefault="00C8434D">
            <w:pPr>
              <w:pStyle w:val="TableParagraph"/>
              <w:ind w:left="200"/>
              <w:rPr>
                <w:sz w:val="24"/>
              </w:rPr>
            </w:pPr>
            <w:r>
              <w:rPr>
                <w:sz w:val="24"/>
              </w:rPr>
              <w:t>12.1</w:t>
            </w:r>
          </w:p>
        </w:tc>
        <w:tc>
          <w:tcPr>
            <w:tcW w:w="7667" w:type="dxa"/>
          </w:tcPr>
          <w:p w14:paraId="0CAE18E5" w14:textId="77777777" w:rsidR="00BC7EAF" w:rsidRDefault="00C8434D">
            <w:pPr>
              <w:pStyle w:val="TableParagraph"/>
              <w:spacing w:before="127"/>
              <w:ind w:left="163"/>
              <w:jc w:val="both"/>
              <w:rPr>
                <w:b/>
                <w:sz w:val="24"/>
              </w:rPr>
            </w:pPr>
            <w:r>
              <w:rPr>
                <w:b/>
                <w:sz w:val="24"/>
                <w:u w:val="thick"/>
              </w:rPr>
              <w:t>Capital Projects Update</w:t>
            </w:r>
          </w:p>
          <w:p w14:paraId="0DFDBF38" w14:textId="77777777" w:rsidR="00BC7EAF" w:rsidRDefault="00BC7EAF">
            <w:pPr>
              <w:pStyle w:val="TableParagraph"/>
              <w:spacing w:before="6"/>
              <w:rPr>
                <w:sz w:val="23"/>
              </w:rPr>
            </w:pPr>
          </w:p>
          <w:p w14:paraId="5A9D7965" w14:textId="77777777" w:rsidR="00BC7EAF" w:rsidRDefault="00C8434D">
            <w:pPr>
              <w:pStyle w:val="TableParagraph"/>
              <w:spacing w:line="270" w:lineRule="atLeast"/>
              <w:ind w:left="163" w:right="239"/>
              <w:jc w:val="both"/>
              <w:rPr>
                <w:sz w:val="24"/>
              </w:rPr>
            </w:pPr>
            <w:r>
              <w:rPr>
                <w:sz w:val="24"/>
              </w:rPr>
              <w:t xml:space="preserve">The Secretary reported that further work to remove asbestos had been identified with a total estimated cost of £140k plus VAT. The Nursey Works were to budget but two months behind schedule. There was an  issue to resolve with the </w:t>
            </w:r>
            <w:r>
              <w:rPr>
                <w:sz w:val="24"/>
              </w:rPr>
              <w:t>Logan Botanic Garden pond and work on the pond at the John Hope Gateway would start in October 2016. Glasshouse safety works had been completed. Following a dispute between the Quantity Surveyors on the Botanic Cottage project the final costs were due in O</w:t>
            </w:r>
            <w:r>
              <w:rPr>
                <w:sz w:val="24"/>
              </w:rPr>
              <w:t>ctober 2016 and there was a financial risk as previously briefed to the RBGE but funding had been set aside to cover</w:t>
            </w:r>
            <w:r>
              <w:rPr>
                <w:spacing w:val="-5"/>
                <w:sz w:val="24"/>
              </w:rPr>
              <w:t xml:space="preserve"> </w:t>
            </w:r>
            <w:r>
              <w:rPr>
                <w:sz w:val="24"/>
              </w:rPr>
              <w:t>this.</w:t>
            </w:r>
          </w:p>
        </w:tc>
        <w:tc>
          <w:tcPr>
            <w:tcW w:w="1206" w:type="dxa"/>
          </w:tcPr>
          <w:p w14:paraId="6646FE6B" w14:textId="77777777" w:rsidR="00BC7EAF" w:rsidRDefault="00BC7EAF">
            <w:pPr>
              <w:pStyle w:val="TableParagraph"/>
            </w:pPr>
          </w:p>
        </w:tc>
      </w:tr>
    </w:tbl>
    <w:p w14:paraId="77A0BDD9" w14:textId="77777777" w:rsidR="00BC7EAF" w:rsidRDefault="00BC7EAF">
      <w:pPr>
        <w:sectPr w:rsidR="00BC7EAF">
          <w:pgSz w:w="11910" w:h="16840"/>
          <w:pgMar w:top="1000" w:right="660" w:bottom="560" w:left="1100" w:header="0" w:footer="38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881"/>
        <w:gridCol w:w="7501"/>
        <w:gridCol w:w="142"/>
        <w:gridCol w:w="1257"/>
      </w:tblGrid>
      <w:tr w:rsidR="00BC7EAF" w14:paraId="5A9B18F6" w14:textId="77777777" w:rsidTr="00C80BF3">
        <w:trPr>
          <w:trHeight w:val="411"/>
        </w:trPr>
        <w:tc>
          <w:tcPr>
            <w:tcW w:w="881" w:type="dxa"/>
          </w:tcPr>
          <w:p w14:paraId="6CA01621" w14:textId="77777777" w:rsidR="00BC7EAF" w:rsidRDefault="00C8434D">
            <w:pPr>
              <w:pStyle w:val="TableParagraph"/>
              <w:spacing w:line="258" w:lineRule="exact"/>
              <w:ind w:left="179" w:right="221"/>
              <w:jc w:val="center"/>
              <w:rPr>
                <w:sz w:val="24"/>
              </w:rPr>
            </w:pPr>
            <w:r>
              <w:rPr>
                <w:sz w:val="24"/>
                <w:u w:val="single"/>
              </w:rPr>
              <w:lastRenderedPageBreak/>
              <w:t>Item</w:t>
            </w:r>
          </w:p>
        </w:tc>
        <w:tc>
          <w:tcPr>
            <w:tcW w:w="7501" w:type="dxa"/>
          </w:tcPr>
          <w:p w14:paraId="547DEA32" w14:textId="77777777" w:rsidR="00BC7EAF" w:rsidRDefault="00C8434D">
            <w:pPr>
              <w:pStyle w:val="TableParagraph"/>
              <w:spacing w:line="258" w:lineRule="exact"/>
              <w:ind w:left="245"/>
              <w:rPr>
                <w:sz w:val="24"/>
              </w:rPr>
            </w:pPr>
            <w:r>
              <w:rPr>
                <w:sz w:val="24"/>
                <w:u w:val="single"/>
              </w:rPr>
              <w:t>Narrative &amp; Decisions</w:t>
            </w:r>
          </w:p>
        </w:tc>
        <w:tc>
          <w:tcPr>
            <w:tcW w:w="1399" w:type="dxa"/>
            <w:gridSpan w:val="2"/>
          </w:tcPr>
          <w:p w14:paraId="7D8E63E4" w14:textId="77777777" w:rsidR="00BC7EAF" w:rsidRDefault="00C8434D">
            <w:pPr>
              <w:pStyle w:val="TableParagraph"/>
              <w:spacing w:line="258" w:lineRule="exact"/>
              <w:ind w:right="197"/>
              <w:jc w:val="right"/>
              <w:rPr>
                <w:sz w:val="24"/>
              </w:rPr>
            </w:pPr>
            <w:r>
              <w:rPr>
                <w:sz w:val="24"/>
                <w:u w:val="single"/>
              </w:rPr>
              <w:t>Action</w:t>
            </w:r>
          </w:p>
        </w:tc>
      </w:tr>
      <w:tr w:rsidR="00BC7EAF" w14:paraId="733784E0" w14:textId="77777777">
        <w:trPr>
          <w:trHeight w:val="1655"/>
        </w:trPr>
        <w:tc>
          <w:tcPr>
            <w:tcW w:w="881" w:type="dxa"/>
          </w:tcPr>
          <w:p w14:paraId="0B198E61" w14:textId="77777777" w:rsidR="00BC7EAF" w:rsidRDefault="00C8434D">
            <w:pPr>
              <w:pStyle w:val="TableParagraph"/>
              <w:spacing w:before="127"/>
              <w:ind w:left="200"/>
              <w:rPr>
                <w:b/>
                <w:sz w:val="24"/>
              </w:rPr>
            </w:pPr>
            <w:r>
              <w:rPr>
                <w:b/>
                <w:sz w:val="24"/>
              </w:rPr>
              <w:t>13.0</w:t>
            </w:r>
          </w:p>
          <w:p w14:paraId="6E77E020" w14:textId="77777777" w:rsidR="00BC7EAF" w:rsidRDefault="00BC7EAF">
            <w:pPr>
              <w:pStyle w:val="TableParagraph"/>
              <w:spacing w:before="6"/>
              <w:rPr>
                <w:sz w:val="23"/>
              </w:rPr>
            </w:pPr>
          </w:p>
          <w:p w14:paraId="07DE1102" w14:textId="77777777" w:rsidR="00BC7EAF" w:rsidRDefault="00C8434D">
            <w:pPr>
              <w:pStyle w:val="TableParagraph"/>
              <w:ind w:left="200"/>
              <w:rPr>
                <w:sz w:val="24"/>
              </w:rPr>
            </w:pPr>
            <w:r>
              <w:rPr>
                <w:sz w:val="24"/>
              </w:rPr>
              <w:t>13.1</w:t>
            </w:r>
          </w:p>
        </w:tc>
        <w:tc>
          <w:tcPr>
            <w:tcW w:w="8900" w:type="dxa"/>
            <w:gridSpan w:val="3"/>
          </w:tcPr>
          <w:p w14:paraId="6D3F240F" w14:textId="77777777" w:rsidR="00BC7EAF" w:rsidRDefault="00C8434D">
            <w:pPr>
              <w:pStyle w:val="TableParagraph"/>
              <w:spacing w:before="127"/>
              <w:ind w:left="245"/>
              <w:jc w:val="both"/>
              <w:rPr>
                <w:b/>
                <w:sz w:val="24"/>
              </w:rPr>
            </w:pPr>
            <w:r>
              <w:rPr>
                <w:b/>
                <w:sz w:val="24"/>
                <w:u w:val="thick"/>
              </w:rPr>
              <w:t>Working Practices Review</w:t>
            </w:r>
          </w:p>
          <w:p w14:paraId="2A574558" w14:textId="77777777" w:rsidR="00BC7EAF" w:rsidRDefault="00BC7EAF">
            <w:pPr>
              <w:pStyle w:val="TableParagraph"/>
              <w:spacing w:before="6"/>
              <w:rPr>
                <w:sz w:val="23"/>
              </w:rPr>
            </w:pPr>
          </w:p>
          <w:p w14:paraId="710BF80A" w14:textId="77777777" w:rsidR="00BC7EAF" w:rsidRDefault="00C8434D">
            <w:pPr>
              <w:pStyle w:val="TableParagraph"/>
              <w:ind w:left="245" w:right="1394"/>
              <w:jc w:val="both"/>
              <w:rPr>
                <w:sz w:val="24"/>
              </w:rPr>
            </w:pPr>
            <w:r>
              <w:rPr>
                <w:sz w:val="24"/>
              </w:rPr>
              <w:t>The Regius Keeper provided an update on the Working Practices Review. Trustees noted that no further action was being taken on the recommendation concerning weekend allowances.</w:t>
            </w:r>
          </w:p>
        </w:tc>
      </w:tr>
      <w:tr w:rsidR="00BC7EAF" w14:paraId="4C68D322" w14:textId="77777777">
        <w:trPr>
          <w:trHeight w:val="551"/>
        </w:trPr>
        <w:tc>
          <w:tcPr>
            <w:tcW w:w="881" w:type="dxa"/>
          </w:tcPr>
          <w:p w14:paraId="33F17F49" w14:textId="77777777" w:rsidR="00BC7EAF" w:rsidRDefault="00C8434D">
            <w:pPr>
              <w:pStyle w:val="TableParagraph"/>
              <w:spacing w:before="127"/>
              <w:ind w:left="161" w:right="221"/>
              <w:jc w:val="center"/>
              <w:rPr>
                <w:b/>
                <w:sz w:val="24"/>
              </w:rPr>
            </w:pPr>
            <w:r>
              <w:rPr>
                <w:b/>
                <w:sz w:val="24"/>
              </w:rPr>
              <w:t>14.0</w:t>
            </w:r>
          </w:p>
        </w:tc>
        <w:tc>
          <w:tcPr>
            <w:tcW w:w="8900" w:type="dxa"/>
            <w:gridSpan w:val="3"/>
          </w:tcPr>
          <w:p w14:paraId="52ACDB60" w14:textId="77777777" w:rsidR="00BC7EAF" w:rsidRDefault="00C8434D">
            <w:pPr>
              <w:pStyle w:val="TableParagraph"/>
              <w:spacing w:before="127"/>
              <w:ind w:left="245"/>
              <w:rPr>
                <w:b/>
                <w:sz w:val="24"/>
              </w:rPr>
            </w:pPr>
            <w:r>
              <w:rPr>
                <w:b/>
                <w:sz w:val="24"/>
                <w:u w:val="thick"/>
              </w:rPr>
              <w:t>Report of the Audit Committee</w:t>
            </w:r>
          </w:p>
        </w:tc>
      </w:tr>
      <w:tr w:rsidR="00BC7EAF" w14:paraId="75B8323F" w14:textId="77777777">
        <w:trPr>
          <w:trHeight w:val="411"/>
        </w:trPr>
        <w:tc>
          <w:tcPr>
            <w:tcW w:w="881" w:type="dxa"/>
          </w:tcPr>
          <w:p w14:paraId="6C789059" w14:textId="77777777" w:rsidR="00BC7EAF" w:rsidRDefault="00C8434D">
            <w:pPr>
              <w:pStyle w:val="TableParagraph"/>
              <w:spacing w:before="122" w:line="269" w:lineRule="exact"/>
              <w:ind w:left="161" w:right="221"/>
              <w:jc w:val="center"/>
              <w:rPr>
                <w:sz w:val="24"/>
              </w:rPr>
            </w:pPr>
            <w:r>
              <w:rPr>
                <w:sz w:val="24"/>
              </w:rPr>
              <w:t>14.1</w:t>
            </w:r>
          </w:p>
        </w:tc>
        <w:tc>
          <w:tcPr>
            <w:tcW w:w="8900" w:type="dxa"/>
            <w:gridSpan w:val="3"/>
          </w:tcPr>
          <w:p w14:paraId="68468DBB" w14:textId="77777777" w:rsidR="00BC7EAF" w:rsidRDefault="00C8434D">
            <w:pPr>
              <w:pStyle w:val="TableParagraph"/>
              <w:spacing w:before="122" w:line="269" w:lineRule="exact"/>
              <w:ind w:left="245"/>
              <w:rPr>
                <w:sz w:val="24"/>
              </w:rPr>
            </w:pPr>
            <w:r>
              <w:rPr>
                <w:sz w:val="24"/>
                <w:u w:val="single"/>
              </w:rPr>
              <w:t>Annual Report by Royal Botanic Garden Edinburgh Audit Committee for</w:t>
            </w:r>
          </w:p>
        </w:tc>
      </w:tr>
      <w:tr w:rsidR="00BC7EAF" w14:paraId="0AB2AC27" w14:textId="77777777">
        <w:trPr>
          <w:trHeight w:val="413"/>
        </w:trPr>
        <w:tc>
          <w:tcPr>
            <w:tcW w:w="881" w:type="dxa"/>
          </w:tcPr>
          <w:p w14:paraId="366C89A2" w14:textId="77777777" w:rsidR="00BC7EAF" w:rsidRDefault="00BC7EAF">
            <w:pPr>
              <w:pStyle w:val="TableParagraph"/>
            </w:pPr>
          </w:p>
        </w:tc>
        <w:tc>
          <w:tcPr>
            <w:tcW w:w="8900" w:type="dxa"/>
            <w:gridSpan w:val="3"/>
          </w:tcPr>
          <w:p w14:paraId="5314AB10" w14:textId="77777777" w:rsidR="00BC7EAF" w:rsidRDefault="00C8434D">
            <w:pPr>
              <w:pStyle w:val="TableParagraph"/>
              <w:spacing w:line="263" w:lineRule="exact"/>
              <w:ind w:left="245"/>
              <w:rPr>
                <w:sz w:val="24"/>
                <w:u w:val="single"/>
              </w:rPr>
            </w:pPr>
            <w:r>
              <w:rPr>
                <w:sz w:val="24"/>
                <w:u w:val="single"/>
              </w:rPr>
              <w:t>the Financial Year 2015/2016</w:t>
            </w:r>
          </w:p>
          <w:p w14:paraId="7CE8D14F" w14:textId="3CF0FA38" w:rsidR="00C80BF3" w:rsidRDefault="00C80BF3" w:rsidP="00C80BF3">
            <w:pPr>
              <w:pStyle w:val="TableParagraph"/>
              <w:spacing w:line="263" w:lineRule="exact"/>
              <w:rPr>
                <w:sz w:val="24"/>
              </w:rPr>
            </w:pPr>
          </w:p>
        </w:tc>
      </w:tr>
      <w:tr w:rsidR="00C80BF3" w14:paraId="472A0A9E" w14:textId="77777777" w:rsidTr="00C80BF3">
        <w:trPr>
          <w:trHeight w:val="413"/>
        </w:trPr>
        <w:tc>
          <w:tcPr>
            <w:tcW w:w="881" w:type="dxa"/>
          </w:tcPr>
          <w:p w14:paraId="03830FBD" w14:textId="77777777" w:rsidR="00C80BF3" w:rsidRDefault="00C80BF3">
            <w:pPr>
              <w:pStyle w:val="TableParagraph"/>
            </w:pPr>
          </w:p>
        </w:tc>
        <w:tc>
          <w:tcPr>
            <w:tcW w:w="7643" w:type="dxa"/>
            <w:gridSpan w:val="2"/>
          </w:tcPr>
          <w:p w14:paraId="3FFF3103" w14:textId="77777777" w:rsidR="00C80BF3" w:rsidRDefault="00C80BF3" w:rsidP="00C80BF3">
            <w:pPr>
              <w:pStyle w:val="TableParagraph"/>
              <w:spacing w:line="263" w:lineRule="exact"/>
              <w:ind w:left="245"/>
              <w:jc w:val="both"/>
              <w:rPr>
                <w:sz w:val="24"/>
              </w:rPr>
            </w:pPr>
            <w:r>
              <w:rPr>
                <w:sz w:val="24"/>
              </w:rPr>
              <w:t>Mr Tim Rollinson (Chair of the Audit Committee) had provided a report and was happy to recommend to the Board of Trustees that the RBGE had an acceptable process for managing and reporting risk and that the internal control framework was adequate. The Audit committee thanked the finance Team for their work in preparing the Annual Report and Accounts. The recommendations from the previous Report had now been implemented and there were no recommendations for this year and the Audit Committee were happy with the process.</w:t>
            </w:r>
          </w:p>
          <w:p w14:paraId="0E5E164C" w14:textId="6EB20F3B" w:rsidR="00C80BF3" w:rsidRDefault="00C80BF3" w:rsidP="00C80BF3">
            <w:pPr>
              <w:pStyle w:val="TableParagraph"/>
              <w:spacing w:line="263" w:lineRule="exact"/>
              <w:ind w:left="245"/>
              <w:jc w:val="both"/>
              <w:rPr>
                <w:sz w:val="24"/>
              </w:rPr>
            </w:pPr>
          </w:p>
        </w:tc>
        <w:tc>
          <w:tcPr>
            <w:tcW w:w="1257" w:type="dxa"/>
          </w:tcPr>
          <w:p w14:paraId="55FF88A5" w14:textId="6889ED36" w:rsidR="00C80BF3" w:rsidRDefault="00C80BF3" w:rsidP="00C80BF3">
            <w:pPr>
              <w:pStyle w:val="TableParagraph"/>
              <w:spacing w:before="124" w:line="269" w:lineRule="exact"/>
              <w:ind w:left="245"/>
              <w:jc w:val="both"/>
              <w:rPr>
                <w:sz w:val="24"/>
              </w:rPr>
            </w:pPr>
          </w:p>
        </w:tc>
      </w:tr>
      <w:tr w:rsidR="00BC7EAF" w14:paraId="61FDDBD3" w14:textId="77777777">
        <w:trPr>
          <w:trHeight w:val="552"/>
        </w:trPr>
        <w:tc>
          <w:tcPr>
            <w:tcW w:w="881" w:type="dxa"/>
          </w:tcPr>
          <w:p w14:paraId="087BD2D6" w14:textId="77777777" w:rsidR="00BC7EAF" w:rsidRDefault="00C8434D">
            <w:pPr>
              <w:pStyle w:val="TableParagraph"/>
              <w:spacing w:before="124"/>
              <w:ind w:left="161" w:right="221"/>
              <w:jc w:val="center"/>
              <w:rPr>
                <w:sz w:val="24"/>
              </w:rPr>
            </w:pPr>
            <w:r>
              <w:rPr>
                <w:sz w:val="24"/>
              </w:rPr>
              <w:t>14.2</w:t>
            </w:r>
          </w:p>
        </w:tc>
        <w:tc>
          <w:tcPr>
            <w:tcW w:w="8900" w:type="dxa"/>
            <w:gridSpan w:val="3"/>
          </w:tcPr>
          <w:p w14:paraId="115416DD" w14:textId="77777777" w:rsidR="00BC7EAF" w:rsidRDefault="00C8434D">
            <w:pPr>
              <w:pStyle w:val="TableParagraph"/>
              <w:spacing w:before="124"/>
              <w:ind w:left="245"/>
              <w:rPr>
                <w:sz w:val="24"/>
              </w:rPr>
            </w:pPr>
            <w:r>
              <w:rPr>
                <w:sz w:val="24"/>
                <w:u w:val="single"/>
              </w:rPr>
              <w:t>Minutes of Audit Committee Meeting held 21 September 2016</w:t>
            </w:r>
          </w:p>
        </w:tc>
      </w:tr>
      <w:tr w:rsidR="00BC7EAF" w14:paraId="7F2A130D" w14:textId="77777777">
        <w:trPr>
          <w:trHeight w:val="554"/>
        </w:trPr>
        <w:tc>
          <w:tcPr>
            <w:tcW w:w="881" w:type="dxa"/>
          </w:tcPr>
          <w:p w14:paraId="62E708B0" w14:textId="77777777" w:rsidR="00BC7EAF" w:rsidRDefault="00BC7EAF">
            <w:pPr>
              <w:pStyle w:val="TableParagraph"/>
            </w:pPr>
          </w:p>
        </w:tc>
        <w:tc>
          <w:tcPr>
            <w:tcW w:w="8900" w:type="dxa"/>
            <w:gridSpan w:val="3"/>
          </w:tcPr>
          <w:p w14:paraId="54453C60" w14:textId="77777777" w:rsidR="00BC7EAF" w:rsidRDefault="00C8434D">
            <w:pPr>
              <w:pStyle w:val="TableParagraph"/>
              <w:spacing w:before="124"/>
              <w:ind w:left="245"/>
              <w:rPr>
                <w:sz w:val="24"/>
              </w:rPr>
            </w:pPr>
            <w:r>
              <w:rPr>
                <w:sz w:val="24"/>
              </w:rPr>
              <w:t>These were provided for information.</w:t>
            </w:r>
          </w:p>
        </w:tc>
      </w:tr>
      <w:tr w:rsidR="00BC7EAF" w14:paraId="32C69B28" w14:textId="77777777">
        <w:trPr>
          <w:trHeight w:val="552"/>
        </w:trPr>
        <w:tc>
          <w:tcPr>
            <w:tcW w:w="881" w:type="dxa"/>
          </w:tcPr>
          <w:p w14:paraId="0C29D44F" w14:textId="77777777" w:rsidR="00BC7EAF" w:rsidRDefault="00C8434D">
            <w:pPr>
              <w:pStyle w:val="TableParagraph"/>
              <w:spacing w:before="127"/>
              <w:ind w:left="161" w:right="221"/>
              <w:jc w:val="center"/>
              <w:rPr>
                <w:b/>
                <w:sz w:val="24"/>
              </w:rPr>
            </w:pPr>
            <w:r>
              <w:rPr>
                <w:b/>
                <w:sz w:val="24"/>
              </w:rPr>
              <w:t>15.0</w:t>
            </w:r>
          </w:p>
        </w:tc>
        <w:tc>
          <w:tcPr>
            <w:tcW w:w="8900" w:type="dxa"/>
            <w:gridSpan w:val="3"/>
          </w:tcPr>
          <w:p w14:paraId="3BC29478" w14:textId="77777777" w:rsidR="00BC7EAF" w:rsidRDefault="00C8434D">
            <w:pPr>
              <w:pStyle w:val="TableParagraph"/>
              <w:spacing w:before="127"/>
              <w:ind w:left="245"/>
              <w:rPr>
                <w:b/>
                <w:sz w:val="24"/>
              </w:rPr>
            </w:pPr>
            <w:r>
              <w:rPr>
                <w:b/>
                <w:sz w:val="24"/>
                <w:u w:val="thick"/>
              </w:rPr>
              <w:t>Report of the Science Advisory Committee</w:t>
            </w:r>
          </w:p>
        </w:tc>
      </w:tr>
      <w:tr w:rsidR="00BC7EAF" w14:paraId="7245276E" w14:textId="77777777">
        <w:trPr>
          <w:trHeight w:val="2484"/>
        </w:trPr>
        <w:tc>
          <w:tcPr>
            <w:tcW w:w="881" w:type="dxa"/>
          </w:tcPr>
          <w:p w14:paraId="083B2606" w14:textId="77777777" w:rsidR="00BC7EAF" w:rsidRDefault="00C8434D">
            <w:pPr>
              <w:pStyle w:val="TableParagraph"/>
              <w:spacing w:before="122"/>
              <w:ind w:left="161" w:right="221"/>
              <w:jc w:val="center"/>
              <w:rPr>
                <w:sz w:val="24"/>
              </w:rPr>
            </w:pPr>
            <w:r>
              <w:rPr>
                <w:sz w:val="24"/>
              </w:rPr>
              <w:t>15.1</w:t>
            </w:r>
          </w:p>
        </w:tc>
        <w:tc>
          <w:tcPr>
            <w:tcW w:w="8900" w:type="dxa"/>
            <w:gridSpan w:val="3"/>
          </w:tcPr>
          <w:p w14:paraId="602E7B83" w14:textId="77777777" w:rsidR="00BC7EAF" w:rsidRDefault="00C8434D">
            <w:pPr>
              <w:pStyle w:val="TableParagraph"/>
              <w:spacing w:before="122"/>
              <w:ind w:left="245" w:right="1390"/>
              <w:jc w:val="both"/>
              <w:rPr>
                <w:sz w:val="24"/>
              </w:rPr>
            </w:pPr>
            <w:r>
              <w:rPr>
                <w:sz w:val="24"/>
              </w:rPr>
              <w:t xml:space="preserve">Prof Tom Meagher (Chairman of the Science Advisory Committee) reported that a virtual meeting had been held on Wednesday 21 September 2016 where the </w:t>
            </w:r>
            <w:r>
              <w:rPr>
                <w:i/>
                <w:sz w:val="24"/>
              </w:rPr>
              <w:t xml:space="preserve">Phytophthora </w:t>
            </w:r>
            <w:r>
              <w:rPr>
                <w:sz w:val="24"/>
              </w:rPr>
              <w:t>issue had been discussed along with good news science stories: a recent cover story in Science</w:t>
            </w:r>
            <w:r>
              <w:rPr>
                <w:sz w:val="24"/>
              </w:rPr>
              <w:t>, a recent internationally prestigious Stebbins Award, and even more external grant award successes</w:t>
            </w:r>
            <w:r>
              <w:rPr>
                <w:rFonts w:ascii="Arial" w:hAnsi="Arial"/>
                <w:sz w:val="24"/>
              </w:rPr>
              <w:t>’</w:t>
            </w:r>
            <w:r>
              <w:rPr>
                <w:sz w:val="24"/>
              </w:rPr>
              <w:t>. The next full meeting would be held on Thursday 8 December 2016. The Director of Science thanked the Science Advisory Committee for their work.</w:t>
            </w:r>
          </w:p>
        </w:tc>
      </w:tr>
      <w:tr w:rsidR="00BC7EAF" w14:paraId="67096186" w14:textId="77777777" w:rsidTr="00C80BF3">
        <w:trPr>
          <w:trHeight w:val="554"/>
        </w:trPr>
        <w:tc>
          <w:tcPr>
            <w:tcW w:w="881" w:type="dxa"/>
          </w:tcPr>
          <w:p w14:paraId="620694CE" w14:textId="77777777" w:rsidR="00BC7EAF" w:rsidRDefault="00BC7EAF">
            <w:pPr>
              <w:pStyle w:val="TableParagraph"/>
            </w:pPr>
          </w:p>
        </w:tc>
        <w:tc>
          <w:tcPr>
            <w:tcW w:w="7501" w:type="dxa"/>
          </w:tcPr>
          <w:p w14:paraId="318787C4" w14:textId="77777777" w:rsidR="00BC7EAF" w:rsidRDefault="00C8434D">
            <w:pPr>
              <w:pStyle w:val="TableParagraph"/>
              <w:spacing w:before="127"/>
              <w:ind w:left="245"/>
              <w:rPr>
                <w:b/>
                <w:sz w:val="24"/>
              </w:rPr>
            </w:pPr>
            <w:r>
              <w:rPr>
                <w:b/>
                <w:sz w:val="24"/>
                <w:u w:val="thick"/>
              </w:rPr>
              <w:t>CLOSING ITEMS:</w:t>
            </w:r>
          </w:p>
        </w:tc>
        <w:tc>
          <w:tcPr>
            <w:tcW w:w="1399" w:type="dxa"/>
            <w:gridSpan w:val="2"/>
          </w:tcPr>
          <w:p w14:paraId="37703761" w14:textId="77777777" w:rsidR="00BC7EAF" w:rsidRDefault="00BC7EAF">
            <w:pPr>
              <w:pStyle w:val="TableParagraph"/>
            </w:pPr>
          </w:p>
        </w:tc>
      </w:tr>
      <w:tr w:rsidR="00BC7EAF" w14:paraId="613DBBDE" w14:textId="77777777" w:rsidTr="00C80BF3">
        <w:trPr>
          <w:trHeight w:val="549"/>
        </w:trPr>
        <w:tc>
          <w:tcPr>
            <w:tcW w:w="881" w:type="dxa"/>
          </w:tcPr>
          <w:p w14:paraId="6DEF30FC" w14:textId="77777777" w:rsidR="00BC7EAF" w:rsidRDefault="00C8434D">
            <w:pPr>
              <w:pStyle w:val="TableParagraph"/>
              <w:spacing w:before="124"/>
              <w:ind w:left="161" w:right="221"/>
              <w:jc w:val="center"/>
              <w:rPr>
                <w:b/>
                <w:sz w:val="24"/>
              </w:rPr>
            </w:pPr>
            <w:r>
              <w:rPr>
                <w:b/>
                <w:sz w:val="24"/>
              </w:rPr>
              <w:t>16.0</w:t>
            </w:r>
          </w:p>
        </w:tc>
        <w:tc>
          <w:tcPr>
            <w:tcW w:w="7501" w:type="dxa"/>
          </w:tcPr>
          <w:p w14:paraId="0C37358D" w14:textId="77777777" w:rsidR="00BC7EAF" w:rsidRDefault="00C8434D">
            <w:pPr>
              <w:pStyle w:val="TableParagraph"/>
              <w:spacing w:before="124"/>
              <w:ind w:left="245"/>
              <w:rPr>
                <w:b/>
                <w:sz w:val="24"/>
              </w:rPr>
            </w:pPr>
            <w:r>
              <w:rPr>
                <w:b/>
                <w:sz w:val="24"/>
                <w:u w:val="thick"/>
              </w:rPr>
              <w:t>Any Other Business</w:t>
            </w:r>
          </w:p>
        </w:tc>
        <w:tc>
          <w:tcPr>
            <w:tcW w:w="1399" w:type="dxa"/>
            <w:gridSpan w:val="2"/>
            <w:vMerge w:val="restart"/>
          </w:tcPr>
          <w:p w14:paraId="3D0E1B65" w14:textId="77777777" w:rsidR="00BC7EAF" w:rsidRDefault="00BC7EAF">
            <w:pPr>
              <w:pStyle w:val="TableParagraph"/>
            </w:pPr>
          </w:p>
        </w:tc>
      </w:tr>
      <w:tr w:rsidR="00BC7EAF" w14:paraId="6C5B5C9B" w14:textId="77777777" w:rsidTr="00C80BF3">
        <w:trPr>
          <w:trHeight w:val="551"/>
        </w:trPr>
        <w:tc>
          <w:tcPr>
            <w:tcW w:w="881" w:type="dxa"/>
          </w:tcPr>
          <w:p w14:paraId="185D2D1C" w14:textId="77777777" w:rsidR="00BC7EAF" w:rsidRDefault="00C8434D">
            <w:pPr>
              <w:pStyle w:val="TableParagraph"/>
              <w:spacing w:before="122"/>
              <w:ind w:left="161" w:right="221"/>
              <w:jc w:val="center"/>
              <w:rPr>
                <w:sz w:val="24"/>
              </w:rPr>
            </w:pPr>
            <w:r>
              <w:rPr>
                <w:sz w:val="24"/>
              </w:rPr>
              <w:t>16.1</w:t>
            </w:r>
          </w:p>
        </w:tc>
        <w:tc>
          <w:tcPr>
            <w:tcW w:w="7501" w:type="dxa"/>
          </w:tcPr>
          <w:p w14:paraId="49984F82" w14:textId="77777777" w:rsidR="00BC7EAF" w:rsidRDefault="00C8434D">
            <w:pPr>
              <w:pStyle w:val="TableParagraph"/>
              <w:spacing w:before="122"/>
              <w:ind w:left="245"/>
              <w:rPr>
                <w:sz w:val="24"/>
              </w:rPr>
            </w:pPr>
            <w:r>
              <w:rPr>
                <w:sz w:val="24"/>
              </w:rPr>
              <w:t>There were no items raised.</w:t>
            </w:r>
          </w:p>
        </w:tc>
        <w:tc>
          <w:tcPr>
            <w:tcW w:w="1399" w:type="dxa"/>
            <w:gridSpan w:val="2"/>
            <w:vMerge/>
            <w:tcBorders>
              <w:top w:val="nil"/>
            </w:tcBorders>
          </w:tcPr>
          <w:p w14:paraId="732EFAE0" w14:textId="77777777" w:rsidR="00BC7EAF" w:rsidRDefault="00BC7EAF">
            <w:pPr>
              <w:rPr>
                <w:sz w:val="2"/>
                <w:szCs w:val="2"/>
              </w:rPr>
            </w:pPr>
          </w:p>
        </w:tc>
      </w:tr>
      <w:tr w:rsidR="00BC7EAF" w14:paraId="06945E4A" w14:textId="77777777">
        <w:trPr>
          <w:trHeight w:val="551"/>
        </w:trPr>
        <w:tc>
          <w:tcPr>
            <w:tcW w:w="881" w:type="dxa"/>
          </w:tcPr>
          <w:p w14:paraId="07FCA29E" w14:textId="77777777" w:rsidR="00BC7EAF" w:rsidRDefault="00C8434D">
            <w:pPr>
              <w:pStyle w:val="TableParagraph"/>
              <w:spacing w:before="127"/>
              <w:ind w:left="161" w:right="221"/>
              <w:jc w:val="center"/>
              <w:rPr>
                <w:b/>
                <w:sz w:val="24"/>
              </w:rPr>
            </w:pPr>
            <w:r>
              <w:rPr>
                <w:b/>
                <w:sz w:val="24"/>
              </w:rPr>
              <w:t>17.0</w:t>
            </w:r>
          </w:p>
        </w:tc>
        <w:tc>
          <w:tcPr>
            <w:tcW w:w="8900" w:type="dxa"/>
            <w:gridSpan w:val="3"/>
          </w:tcPr>
          <w:p w14:paraId="01F74811" w14:textId="77777777" w:rsidR="00BC7EAF" w:rsidRDefault="00C8434D">
            <w:pPr>
              <w:pStyle w:val="TableParagraph"/>
              <w:spacing w:before="127"/>
              <w:ind w:left="245"/>
              <w:rPr>
                <w:b/>
                <w:sz w:val="24"/>
              </w:rPr>
            </w:pPr>
            <w:r>
              <w:rPr>
                <w:b/>
                <w:sz w:val="24"/>
                <w:u w:val="thick"/>
              </w:rPr>
              <w:t>Arrangements for the Next Meeting</w:t>
            </w:r>
          </w:p>
        </w:tc>
      </w:tr>
      <w:tr w:rsidR="00242D14" w14:paraId="11E1ACD5" w14:textId="77777777" w:rsidTr="00242D14">
        <w:trPr>
          <w:trHeight w:val="411"/>
        </w:trPr>
        <w:tc>
          <w:tcPr>
            <w:tcW w:w="881" w:type="dxa"/>
          </w:tcPr>
          <w:p w14:paraId="04F1F383" w14:textId="77777777" w:rsidR="00242D14" w:rsidRDefault="00242D14">
            <w:pPr>
              <w:pStyle w:val="TableParagraph"/>
              <w:spacing w:before="122" w:line="269" w:lineRule="exact"/>
              <w:ind w:left="161" w:right="221"/>
              <w:jc w:val="center"/>
              <w:rPr>
                <w:sz w:val="24"/>
              </w:rPr>
            </w:pPr>
            <w:r>
              <w:rPr>
                <w:sz w:val="24"/>
              </w:rPr>
              <w:t>17.1</w:t>
            </w:r>
          </w:p>
        </w:tc>
        <w:tc>
          <w:tcPr>
            <w:tcW w:w="7501" w:type="dxa"/>
          </w:tcPr>
          <w:p w14:paraId="49AD9880" w14:textId="77777777" w:rsidR="00242D14" w:rsidRDefault="00242D14" w:rsidP="00242D14">
            <w:pPr>
              <w:pStyle w:val="TableParagraph"/>
              <w:spacing w:before="122" w:line="269" w:lineRule="exact"/>
              <w:ind w:left="245"/>
              <w:jc w:val="both"/>
              <w:rPr>
                <w:sz w:val="24"/>
              </w:rPr>
            </w:pPr>
            <w:r>
              <w:rPr>
                <w:sz w:val="24"/>
              </w:rPr>
              <w:t xml:space="preserve">The next meeting would be held on Wednesday 7 December 2016 in the David Douglas Room, John Hope Gateway, </w:t>
            </w:r>
            <w:r w:rsidRPr="00C80BF3">
              <w:rPr>
                <w:sz w:val="24"/>
              </w:rPr>
              <w:t>Royal Botanic Garden Edinburgh</w:t>
            </w:r>
            <w:r>
              <w:rPr>
                <w:sz w:val="24"/>
              </w:rPr>
              <w:t>.</w:t>
            </w:r>
          </w:p>
        </w:tc>
        <w:tc>
          <w:tcPr>
            <w:tcW w:w="1399" w:type="dxa"/>
            <w:gridSpan w:val="2"/>
          </w:tcPr>
          <w:p w14:paraId="51179CA8" w14:textId="3083C1C6" w:rsidR="00242D14" w:rsidRDefault="00242D14">
            <w:pPr>
              <w:pStyle w:val="TableParagraph"/>
              <w:spacing w:before="122" w:line="269" w:lineRule="exact"/>
              <w:ind w:left="245"/>
              <w:rPr>
                <w:sz w:val="24"/>
              </w:rPr>
            </w:pPr>
          </w:p>
        </w:tc>
      </w:tr>
      <w:tr w:rsidR="00BC7EAF" w14:paraId="5900FCD8" w14:textId="77777777">
        <w:trPr>
          <w:trHeight w:val="276"/>
        </w:trPr>
        <w:tc>
          <w:tcPr>
            <w:tcW w:w="881" w:type="dxa"/>
          </w:tcPr>
          <w:p w14:paraId="19B0251F" w14:textId="77777777" w:rsidR="00BC7EAF" w:rsidRDefault="00BC7EAF">
            <w:pPr>
              <w:pStyle w:val="TableParagraph"/>
              <w:rPr>
                <w:sz w:val="20"/>
              </w:rPr>
            </w:pPr>
          </w:p>
        </w:tc>
        <w:tc>
          <w:tcPr>
            <w:tcW w:w="8900" w:type="dxa"/>
            <w:gridSpan w:val="3"/>
          </w:tcPr>
          <w:p w14:paraId="158CE384" w14:textId="6C029AEF" w:rsidR="00BC7EAF" w:rsidRDefault="00BC7EAF">
            <w:pPr>
              <w:pStyle w:val="TableParagraph"/>
              <w:spacing w:line="256" w:lineRule="exact"/>
              <w:ind w:left="245"/>
              <w:rPr>
                <w:sz w:val="24"/>
              </w:rPr>
            </w:pPr>
          </w:p>
        </w:tc>
      </w:tr>
      <w:tr w:rsidR="00BC7EAF" w14:paraId="13B173F0" w14:textId="77777777">
        <w:trPr>
          <w:trHeight w:val="270"/>
        </w:trPr>
        <w:tc>
          <w:tcPr>
            <w:tcW w:w="881" w:type="dxa"/>
          </w:tcPr>
          <w:p w14:paraId="15F0C5A9" w14:textId="77777777" w:rsidR="00BC7EAF" w:rsidRDefault="00BC7EAF">
            <w:pPr>
              <w:pStyle w:val="TableParagraph"/>
              <w:rPr>
                <w:sz w:val="20"/>
              </w:rPr>
            </w:pPr>
          </w:p>
        </w:tc>
        <w:tc>
          <w:tcPr>
            <w:tcW w:w="8900" w:type="dxa"/>
            <w:gridSpan w:val="3"/>
          </w:tcPr>
          <w:p w14:paraId="50DB9A0B" w14:textId="575C5A04" w:rsidR="00BC7EAF" w:rsidRDefault="00BC7EAF">
            <w:pPr>
              <w:pStyle w:val="TableParagraph"/>
              <w:spacing w:line="251" w:lineRule="exact"/>
              <w:ind w:left="245"/>
              <w:rPr>
                <w:sz w:val="24"/>
              </w:rPr>
            </w:pPr>
          </w:p>
        </w:tc>
      </w:tr>
    </w:tbl>
    <w:p w14:paraId="19B96CCC" w14:textId="77777777" w:rsidR="00BC7EAF" w:rsidRDefault="00BC7EAF">
      <w:pPr>
        <w:pStyle w:val="BodyText"/>
        <w:rPr>
          <w:sz w:val="20"/>
        </w:rPr>
      </w:pPr>
    </w:p>
    <w:p w14:paraId="0F57C99C" w14:textId="77777777" w:rsidR="00242D14" w:rsidRDefault="00C8434D" w:rsidP="00242D14">
      <w:pPr>
        <w:ind w:left="238" w:right="5636"/>
        <w:rPr>
          <w:b/>
          <w:sz w:val="24"/>
        </w:rPr>
      </w:pPr>
      <w:r>
        <w:rPr>
          <w:b/>
          <w:sz w:val="24"/>
        </w:rPr>
        <w:t xml:space="preserve">Jennifer Martin </w:t>
      </w:r>
    </w:p>
    <w:p w14:paraId="1CA98B72" w14:textId="77777777" w:rsidR="00242D14" w:rsidRDefault="00C8434D" w:rsidP="00242D14">
      <w:pPr>
        <w:ind w:left="238" w:right="5636"/>
        <w:rPr>
          <w:sz w:val="24"/>
        </w:rPr>
      </w:pPr>
      <w:r>
        <w:rPr>
          <w:sz w:val="24"/>
        </w:rPr>
        <w:t>PA to the Regius Keeper</w:t>
      </w:r>
    </w:p>
    <w:p w14:paraId="0856E6BF" w14:textId="08CC3212" w:rsidR="00BC7EAF" w:rsidRDefault="00C8434D" w:rsidP="00242D14">
      <w:pPr>
        <w:ind w:left="238" w:right="5636"/>
        <w:rPr>
          <w:sz w:val="24"/>
        </w:rPr>
      </w:pPr>
      <w:r>
        <w:rPr>
          <w:sz w:val="24"/>
        </w:rPr>
        <w:t>31 October 2016</w:t>
      </w:r>
    </w:p>
    <w:sectPr w:rsidR="00BC7EAF">
      <w:pgSz w:w="11910" w:h="16840"/>
      <w:pgMar w:top="1000" w:right="660" w:bottom="560" w:left="110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6577A" w14:textId="77777777" w:rsidR="00000000" w:rsidRDefault="00C8434D">
      <w:r>
        <w:separator/>
      </w:r>
    </w:p>
  </w:endnote>
  <w:endnote w:type="continuationSeparator" w:id="0">
    <w:p w14:paraId="7F7DAE3C" w14:textId="77777777" w:rsidR="00000000" w:rsidRDefault="00C8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80CBF" w14:textId="77777777" w:rsidR="00BC7EAF" w:rsidRDefault="00C8434D">
    <w:pPr>
      <w:pStyle w:val="BodyText"/>
      <w:spacing w:line="14" w:lineRule="auto"/>
      <w:rPr>
        <w:sz w:val="20"/>
      </w:rPr>
    </w:pPr>
    <w:r>
      <w:pict w14:anchorId="36FC8EE7">
        <v:shapetype id="_x0000_t202" coordsize="21600,21600" o:spt="202" path="m,l,21600r21600,l21600,xe">
          <v:stroke joinstyle="miter"/>
          <v:path gradientshapeok="t" o:connecttype="rect"/>
        </v:shapetype>
        <v:shape id="_x0000_s1025" type="#_x0000_t202" style="position:absolute;margin-left:290.6pt;margin-top:807.9pt;width:47.9pt;height:13.05pt;z-index:-251658752;mso-position-horizontal-relative:page;mso-position-vertical-relative:page" filled="f" stroked="f">
          <v:textbox inset="0,0,0,0">
            <w:txbxContent>
              <w:p w14:paraId="1202F555" w14:textId="77777777" w:rsidR="00BC7EAF" w:rsidRDefault="00C8434D">
                <w:pPr>
                  <w:spacing w:before="10"/>
                  <w:ind w:left="20"/>
                  <w:rPr>
                    <w:i/>
                    <w:sz w:val="20"/>
                  </w:rPr>
                </w:pPr>
                <w:r>
                  <w:rPr>
                    <w:i/>
                    <w:sz w:val="20"/>
                  </w:rPr>
                  <w:t xml:space="preserve">Page </w:t>
                </w:r>
                <w:r>
                  <w:fldChar w:fldCharType="begin"/>
                </w:r>
                <w:r>
                  <w:rPr>
                    <w:i/>
                    <w:sz w:val="20"/>
                  </w:rPr>
                  <w:instrText xml:space="preserve"> PAGE </w:instrText>
                </w:r>
                <w:r>
                  <w:fldChar w:fldCharType="separate"/>
                </w:r>
                <w:r>
                  <w:t>1</w:t>
                </w:r>
                <w:r>
                  <w:fldChar w:fldCharType="end"/>
                </w:r>
                <w:r>
                  <w:rPr>
                    <w:i/>
                    <w:sz w:val="20"/>
                  </w:rPr>
                  <w:t xml:space="preserve"> of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ED181" w14:textId="77777777" w:rsidR="00000000" w:rsidRDefault="00C8434D">
      <w:r>
        <w:separator/>
      </w:r>
    </w:p>
  </w:footnote>
  <w:footnote w:type="continuationSeparator" w:id="0">
    <w:p w14:paraId="205677CF" w14:textId="77777777" w:rsidR="00000000" w:rsidRDefault="00C84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E673F"/>
    <w:multiLevelType w:val="hybridMultilevel"/>
    <w:tmpl w:val="48D200FC"/>
    <w:lvl w:ilvl="0" w:tplc="43EC1638">
      <w:start w:val="6"/>
      <w:numFmt w:val="decimal"/>
      <w:lvlText w:val="%1"/>
      <w:lvlJc w:val="left"/>
      <w:pPr>
        <w:ind w:left="1242" w:hanging="927"/>
        <w:jc w:val="left"/>
      </w:pPr>
      <w:rPr>
        <w:rFonts w:hint="default"/>
        <w:lang w:val="en-GB" w:eastAsia="en-GB" w:bidi="en-GB"/>
      </w:rPr>
    </w:lvl>
    <w:lvl w:ilvl="1" w:tplc="E33279D6">
      <w:numFmt w:val="decimal"/>
      <w:lvlText w:val="%1.%2"/>
      <w:lvlJc w:val="left"/>
      <w:pPr>
        <w:ind w:left="1242" w:hanging="927"/>
        <w:jc w:val="left"/>
      </w:pPr>
      <w:rPr>
        <w:rFonts w:hint="default"/>
        <w:b/>
        <w:bCs/>
        <w:spacing w:val="-2"/>
        <w:w w:val="99"/>
        <w:lang w:val="en-GB" w:eastAsia="en-GB" w:bidi="en-GB"/>
      </w:rPr>
    </w:lvl>
    <w:lvl w:ilvl="2" w:tplc="8676DAAE">
      <w:numFmt w:val="bullet"/>
      <w:lvlText w:val="•"/>
      <w:lvlJc w:val="left"/>
      <w:pPr>
        <w:ind w:left="3021" w:hanging="927"/>
      </w:pPr>
      <w:rPr>
        <w:rFonts w:hint="default"/>
        <w:lang w:val="en-GB" w:eastAsia="en-GB" w:bidi="en-GB"/>
      </w:rPr>
    </w:lvl>
    <w:lvl w:ilvl="3" w:tplc="C3DC870A">
      <w:numFmt w:val="bullet"/>
      <w:lvlText w:val="•"/>
      <w:lvlJc w:val="left"/>
      <w:pPr>
        <w:ind w:left="3911" w:hanging="927"/>
      </w:pPr>
      <w:rPr>
        <w:rFonts w:hint="default"/>
        <w:lang w:val="en-GB" w:eastAsia="en-GB" w:bidi="en-GB"/>
      </w:rPr>
    </w:lvl>
    <w:lvl w:ilvl="4" w:tplc="01A0AB12">
      <w:numFmt w:val="bullet"/>
      <w:lvlText w:val="•"/>
      <w:lvlJc w:val="left"/>
      <w:pPr>
        <w:ind w:left="4802" w:hanging="927"/>
      </w:pPr>
      <w:rPr>
        <w:rFonts w:hint="default"/>
        <w:lang w:val="en-GB" w:eastAsia="en-GB" w:bidi="en-GB"/>
      </w:rPr>
    </w:lvl>
    <w:lvl w:ilvl="5" w:tplc="3D4ACAAA">
      <w:numFmt w:val="bullet"/>
      <w:lvlText w:val="•"/>
      <w:lvlJc w:val="left"/>
      <w:pPr>
        <w:ind w:left="5693" w:hanging="927"/>
      </w:pPr>
      <w:rPr>
        <w:rFonts w:hint="default"/>
        <w:lang w:val="en-GB" w:eastAsia="en-GB" w:bidi="en-GB"/>
      </w:rPr>
    </w:lvl>
    <w:lvl w:ilvl="6" w:tplc="5C1CFAF4">
      <w:numFmt w:val="bullet"/>
      <w:lvlText w:val="•"/>
      <w:lvlJc w:val="left"/>
      <w:pPr>
        <w:ind w:left="6583" w:hanging="927"/>
      </w:pPr>
      <w:rPr>
        <w:rFonts w:hint="default"/>
        <w:lang w:val="en-GB" w:eastAsia="en-GB" w:bidi="en-GB"/>
      </w:rPr>
    </w:lvl>
    <w:lvl w:ilvl="7" w:tplc="1608A1D0">
      <w:numFmt w:val="bullet"/>
      <w:lvlText w:val="•"/>
      <w:lvlJc w:val="left"/>
      <w:pPr>
        <w:ind w:left="7474" w:hanging="927"/>
      </w:pPr>
      <w:rPr>
        <w:rFonts w:hint="default"/>
        <w:lang w:val="en-GB" w:eastAsia="en-GB" w:bidi="en-GB"/>
      </w:rPr>
    </w:lvl>
    <w:lvl w:ilvl="8" w:tplc="2BA480CC">
      <w:numFmt w:val="bullet"/>
      <w:lvlText w:val="•"/>
      <w:lvlJc w:val="left"/>
      <w:pPr>
        <w:ind w:left="8365" w:hanging="927"/>
      </w:pPr>
      <w:rPr>
        <w:rFonts w:hint="default"/>
        <w:lang w:val="en-GB" w:eastAsia="en-GB" w:bidi="en-GB"/>
      </w:rPr>
    </w:lvl>
  </w:abstractNum>
  <w:abstractNum w:abstractNumId="1" w15:restartNumberingAfterBreak="0">
    <w:nsid w:val="32192F96"/>
    <w:multiLevelType w:val="hybridMultilevel"/>
    <w:tmpl w:val="B002EFEA"/>
    <w:lvl w:ilvl="0" w:tplc="769EE788">
      <w:numFmt w:val="bullet"/>
      <w:lvlText w:val=""/>
      <w:lvlJc w:val="left"/>
      <w:pPr>
        <w:ind w:left="1962" w:hanging="360"/>
      </w:pPr>
      <w:rPr>
        <w:rFonts w:ascii="Wingdings" w:eastAsia="Wingdings" w:hAnsi="Wingdings" w:cs="Wingdings" w:hint="default"/>
        <w:w w:val="100"/>
        <w:sz w:val="24"/>
        <w:szCs w:val="24"/>
        <w:lang w:val="en-GB" w:eastAsia="en-GB" w:bidi="en-GB"/>
      </w:rPr>
    </w:lvl>
    <w:lvl w:ilvl="1" w:tplc="E22A26A8">
      <w:numFmt w:val="bullet"/>
      <w:lvlText w:val="•"/>
      <w:lvlJc w:val="left"/>
      <w:pPr>
        <w:ind w:left="2778" w:hanging="360"/>
      </w:pPr>
      <w:rPr>
        <w:rFonts w:hint="default"/>
        <w:lang w:val="en-GB" w:eastAsia="en-GB" w:bidi="en-GB"/>
      </w:rPr>
    </w:lvl>
    <w:lvl w:ilvl="2" w:tplc="58E269FA">
      <w:numFmt w:val="bullet"/>
      <w:lvlText w:val="•"/>
      <w:lvlJc w:val="left"/>
      <w:pPr>
        <w:ind w:left="3597" w:hanging="360"/>
      </w:pPr>
      <w:rPr>
        <w:rFonts w:hint="default"/>
        <w:lang w:val="en-GB" w:eastAsia="en-GB" w:bidi="en-GB"/>
      </w:rPr>
    </w:lvl>
    <w:lvl w:ilvl="3" w:tplc="29504A0A">
      <w:numFmt w:val="bullet"/>
      <w:lvlText w:val="•"/>
      <w:lvlJc w:val="left"/>
      <w:pPr>
        <w:ind w:left="4415" w:hanging="360"/>
      </w:pPr>
      <w:rPr>
        <w:rFonts w:hint="default"/>
        <w:lang w:val="en-GB" w:eastAsia="en-GB" w:bidi="en-GB"/>
      </w:rPr>
    </w:lvl>
    <w:lvl w:ilvl="4" w:tplc="D1D208DE">
      <w:numFmt w:val="bullet"/>
      <w:lvlText w:val="•"/>
      <w:lvlJc w:val="left"/>
      <w:pPr>
        <w:ind w:left="5234" w:hanging="360"/>
      </w:pPr>
      <w:rPr>
        <w:rFonts w:hint="default"/>
        <w:lang w:val="en-GB" w:eastAsia="en-GB" w:bidi="en-GB"/>
      </w:rPr>
    </w:lvl>
    <w:lvl w:ilvl="5" w:tplc="7F8231CE">
      <w:numFmt w:val="bullet"/>
      <w:lvlText w:val="•"/>
      <w:lvlJc w:val="left"/>
      <w:pPr>
        <w:ind w:left="6053" w:hanging="360"/>
      </w:pPr>
      <w:rPr>
        <w:rFonts w:hint="default"/>
        <w:lang w:val="en-GB" w:eastAsia="en-GB" w:bidi="en-GB"/>
      </w:rPr>
    </w:lvl>
    <w:lvl w:ilvl="6" w:tplc="24C63EF0">
      <w:numFmt w:val="bullet"/>
      <w:lvlText w:val="•"/>
      <w:lvlJc w:val="left"/>
      <w:pPr>
        <w:ind w:left="6871" w:hanging="360"/>
      </w:pPr>
      <w:rPr>
        <w:rFonts w:hint="default"/>
        <w:lang w:val="en-GB" w:eastAsia="en-GB" w:bidi="en-GB"/>
      </w:rPr>
    </w:lvl>
    <w:lvl w:ilvl="7" w:tplc="DFFECF26">
      <w:numFmt w:val="bullet"/>
      <w:lvlText w:val="•"/>
      <w:lvlJc w:val="left"/>
      <w:pPr>
        <w:ind w:left="7690" w:hanging="360"/>
      </w:pPr>
      <w:rPr>
        <w:rFonts w:hint="default"/>
        <w:lang w:val="en-GB" w:eastAsia="en-GB" w:bidi="en-GB"/>
      </w:rPr>
    </w:lvl>
    <w:lvl w:ilvl="8" w:tplc="9DF4352A">
      <w:numFmt w:val="bullet"/>
      <w:lvlText w:val="•"/>
      <w:lvlJc w:val="left"/>
      <w:pPr>
        <w:ind w:left="8509" w:hanging="360"/>
      </w:pPr>
      <w:rPr>
        <w:rFonts w:hint="default"/>
        <w:lang w:val="en-GB" w:eastAsia="en-GB" w:bidi="en-GB"/>
      </w:rPr>
    </w:lvl>
  </w:abstractNum>
  <w:abstractNum w:abstractNumId="2" w15:restartNumberingAfterBreak="0">
    <w:nsid w:val="5C3C45AB"/>
    <w:multiLevelType w:val="hybridMultilevel"/>
    <w:tmpl w:val="F7D44018"/>
    <w:lvl w:ilvl="0" w:tplc="36A60DB2">
      <w:start w:val="5"/>
      <w:numFmt w:val="decimal"/>
      <w:lvlText w:val="%1"/>
      <w:lvlJc w:val="left"/>
      <w:pPr>
        <w:ind w:left="1242" w:hanging="927"/>
        <w:jc w:val="left"/>
      </w:pPr>
      <w:rPr>
        <w:rFonts w:hint="default"/>
        <w:lang w:val="en-GB" w:eastAsia="en-GB" w:bidi="en-GB"/>
      </w:rPr>
    </w:lvl>
    <w:lvl w:ilvl="1" w:tplc="AD6A4CEC">
      <w:numFmt w:val="decimal"/>
      <w:lvlText w:val="%1.%2"/>
      <w:lvlJc w:val="left"/>
      <w:pPr>
        <w:ind w:left="1242" w:hanging="927"/>
        <w:jc w:val="left"/>
      </w:pPr>
      <w:rPr>
        <w:rFonts w:hint="default"/>
        <w:b/>
        <w:bCs/>
        <w:spacing w:val="-1"/>
        <w:w w:val="99"/>
        <w:lang w:val="en-GB" w:eastAsia="en-GB" w:bidi="en-GB"/>
      </w:rPr>
    </w:lvl>
    <w:lvl w:ilvl="2" w:tplc="7F4264D0">
      <w:numFmt w:val="bullet"/>
      <w:lvlText w:val="•"/>
      <w:lvlJc w:val="left"/>
      <w:pPr>
        <w:ind w:left="3021" w:hanging="927"/>
      </w:pPr>
      <w:rPr>
        <w:rFonts w:hint="default"/>
        <w:lang w:val="en-GB" w:eastAsia="en-GB" w:bidi="en-GB"/>
      </w:rPr>
    </w:lvl>
    <w:lvl w:ilvl="3" w:tplc="DC10E4E0">
      <w:numFmt w:val="bullet"/>
      <w:lvlText w:val="•"/>
      <w:lvlJc w:val="left"/>
      <w:pPr>
        <w:ind w:left="3911" w:hanging="927"/>
      </w:pPr>
      <w:rPr>
        <w:rFonts w:hint="default"/>
        <w:lang w:val="en-GB" w:eastAsia="en-GB" w:bidi="en-GB"/>
      </w:rPr>
    </w:lvl>
    <w:lvl w:ilvl="4" w:tplc="FBB86792">
      <w:numFmt w:val="bullet"/>
      <w:lvlText w:val="•"/>
      <w:lvlJc w:val="left"/>
      <w:pPr>
        <w:ind w:left="4802" w:hanging="927"/>
      </w:pPr>
      <w:rPr>
        <w:rFonts w:hint="default"/>
        <w:lang w:val="en-GB" w:eastAsia="en-GB" w:bidi="en-GB"/>
      </w:rPr>
    </w:lvl>
    <w:lvl w:ilvl="5" w:tplc="D3E48E68">
      <w:numFmt w:val="bullet"/>
      <w:lvlText w:val="•"/>
      <w:lvlJc w:val="left"/>
      <w:pPr>
        <w:ind w:left="5693" w:hanging="927"/>
      </w:pPr>
      <w:rPr>
        <w:rFonts w:hint="default"/>
        <w:lang w:val="en-GB" w:eastAsia="en-GB" w:bidi="en-GB"/>
      </w:rPr>
    </w:lvl>
    <w:lvl w:ilvl="6" w:tplc="C384208E">
      <w:numFmt w:val="bullet"/>
      <w:lvlText w:val="•"/>
      <w:lvlJc w:val="left"/>
      <w:pPr>
        <w:ind w:left="6583" w:hanging="927"/>
      </w:pPr>
      <w:rPr>
        <w:rFonts w:hint="default"/>
        <w:lang w:val="en-GB" w:eastAsia="en-GB" w:bidi="en-GB"/>
      </w:rPr>
    </w:lvl>
    <w:lvl w:ilvl="7" w:tplc="3C725322">
      <w:numFmt w:val="bullet"/>
      <w:lvlText w:val="•"/>
      <w:lvlJc w:val="left"/>
      <w:pPr>
        <w:ind w:left="7474" w:hanging="927"/>
      </w:pPr>
      <w:rPr>
        <w:rFonts w:hint="default"/>
        <w:lang w:val="en-GB" w:eastAsia="en-GB" w:bidi="en-GB"/>
      </w:rPr>
    </w:lvl>
    <w:lvl w:ilvl="8" w:tplc="C4521EC8">
      <w:numFmt w:val="bullet"/>
      <w:lvlText w:val="•"/>
      <w:lvlJc w:val="left"/>
      <w:pPr>
        <w:ind w:left="8365" w:hanging="927"/>
      </w:pPr>
      <w:rPr>
        <w:rFonts w:hint="default"/>
        <w:lang w:val="en-GB" w:eastAsia="en-GB" w:bidi="en-GB"/>
      </w:rPr>
    </w:lvl>
  </w:abstractNum>
  <w:abstractNum w:abstractNumId="3" w15:restartNumberingAfterBreak="0">
    <w:nsid w:val="73D0483C"/>
    <w:multiLevelType w:val="hybridMultilevel"/>
    <w:tmpl w:val="B984B708"/>
    <w:lvl w:ilvl="0" w:tplc="299E1014">
      <w:numFmt w:val="bullet"/>
      <w:lvlText w:val=""/>
      <w:lvlJc w:val="left"/>
      <w:pPr>
        <w:ind w:left="943" w:hanging="360"/>
      </w:pPr>
      <w:rPr>
        <w:rFonts w:ascii="Wingdings" w:eastAsia="Wingdings" w:hAnsi="Wingdings" w:cs="Wingdings" w:hint="default"/>
        <w:w w:val="100"/>
        <w:sz w:val="24"/>
        <w:szCs w:val="24"/>
        <w:lang w:val="en-GB" w:eastAsia="en-GB" w:bidi="en-GB"/>
      </w:rPr>
    </w:lvl>
    <w:lvl w:ilvl="1" w:tplc="36084638">
      <w:numFmt w:val="bullet"/>
      <w:lvlText w:val="•"/>
      <w:lvlJc w:val="left"/>
      <w:pPr>
        <w:ind w:left="1615" w:hanging="360"/>
      </w:pPr>
      <w:rPr>
        <w:rFonts w:hint="default"/>
        <w:lang w:val="en-GB" w:eastAsia="en-GB" w:bidi="en-GB"/>
      </w:rPr>
    </w:lvl>
    <w:lvl w:ilvl="2" w:tplc="528E7150">
      <w:numFmt w:val="bullet"/>
      <w:lvlText w:val="•"/>
      <w:lvlJc w:val="left"/>
      <w:pPr>
        <w:ind w:left="2290" w:hanging="360"/>
      </w:pPr>
      <w:rPr>
        <w:rFonts w:hint="default"/>
        <w:lang w:val="en-GB" w:eastAsia="en-GB" w:bidi="en-GB"/>
      </w:rPr>
    </w:lvl>
    <w:lvl w:ilvl="3" w:tplc="70DE674A">
      <w:numFmt w:val="bullet"/>
      <w:lvlText w:val="•"/>
      <w:lvlJc w:val="left"/>
      <w:pPr>
        <w:ind w:left="2965" w:hanging="360"/>
      </w:pPr>
      <w:rPr>
        <w:rFonts w:hint="default"/>
        <w:lang w:val="en-GB" w:eastAsia="en-GB" w:bidi="en-GB"/>
      </w:rPr>
    </w:lvl>
    <w:lvl w:ilvl="4" w:tplc="FCBA1132">
      <w:numFmt w:val="bullet"/>
      <w:lvlText w:val="•"/>
      <w:lvlJc w:val="left"/>
      <w:pPr>
        <w:ind w:left="3640" w:hanging="360"/>
      </w:pPr>
      <w:rPr>
        <w:rFonts w:hint="default"/>
        <w:lang w:val="en-GB" w:eastAsia="en-GB" w:bidi="en-GB"/>
      </w:rPr>
    </w:lvl>
    <w:lvl w:ilvl="5" w:tplc="F9E8D6F8">
      <w:numFmt w:val="bullet"/>
      <w:lvlText w:val="•"/>
      <w:lvlJc w:val="left"/>
      <w:pPr>
        <w:ind w:left="4315" w:hanging="360"/>
      </w:pPr>
      <w:rPr>
        <w:rFonts w:hint="default"/>
        <w:lang w:val="en-GB" w:eastAsia="en-GB" w:bidi="en-GB"/>
      </w:rPr>
    </w:lvl>
    <w:lvl w:ilvl="6" w:tplc="90C2CD76">
      <w:numFmt w:val="bullet"/>
      <w:lvlText w:val="•"/>
      <w:lvlJc w:val="left"/>
      <w:pPr>
        <w:ind w:left="4990" w:hanging="360"/>
      </w:pPr>
      <w:rPr>
        <w:rFonts w:hint="default"/>
        <w:lang w:val="en-GB" w:eastAsia="en-GB" w:bidi="en-GB"/>
      </w:rPr>
    </w:lvl>
    <w:lvl w:ilvl="7" w:tplc="A52CF886">
      <w:numFmt w:val="bullet"/>
      <w:lvlText w:val="•"/>
      <w:lvlJc w:val="left"/>
      <w:pPr>
        <w:ind w:left="5665" w:hanging="360"/>
      </w:pPr>
      <w:rPr>
        <w:rFonts w:hint="default"/>
        <w:lang w:val="en-GB" w:eastAsia="en-GB" w:bidi="en-GB"/>
      </w:rPr>
    </w:lvl>
    <w:lvl w:ilvl="8" w:tplc="C0B47464">
      <w:numFmt w:val="bullet"/>
      <w:lvlText w:val="•"/>
      <w:lvlJc w:val="left"/>
      <w:pPr>
        <w:ind w:left="6340" w:hanging="360"/>
      </w:pPr>
      <w:rPr>
        <w:rFonts w:hint="default"/>
        <w:lang w:val="en-GB" w:eastAsia="en-GB" w:bidi="en-GB"/>
      </w:rPr>
    </w:lvl>
  </w:abstractNum>
  <w:abstractNum w:abstractNumId="4" w15:restartNumberingAfterBreak="0">
    <w:nsid w:val="780F3C19"/>
    <w:multiLevelType w:val="hybridMultilevel"/>
    <w:tmpl w:val="AE3491AE"/>
    <w:lvl w:ilvl="0" w:tplc="55DC3438">
      <w:start w:val="7"/>
      <w:numFmt w:val="decimal"/>
      <w:lvlText w:val="%1"/>
      <w:lvlJc w:val="left"/>
      <w:pPr>
        <w:ind w:left="1242" w:hanging="927"/>
        <w:jc w:val="left"/>
      </w:pPr>
      <w:rPr>
        <w:rFonts w:hint="default"/>
        <w:lang w:val="en-GB" w:eastAsia="en-GB" w:bidi="en-GB"/>
      </w:rPr>
    </w:lvl>
    <w:lvl w:ilvl="1" w:tplc="998E45A6">
      <w:numFmt w:val="decimal"/>
      <w:lvlText w:val="%1.%2"/>
      <w:lvlJc w:val="left"/>
      <w:pPr>
        <w:ind w:left="1242" w:hanging="927"/>
        <w:jc w:val="left"/>
      </w:pPr>
      <w:rPr>
        <w:rFonts w:hint="default"/>
        <w:b/>
        <w:bCs/>
        <w:spacing w:val="-3"/>
        <w:w w:val="99"/>
        <w:lang w:val="en-GB" w:eastAsia="en-GB" w:bidi="en-GB"/>
      </w:rPr>
    </w:lvl>
    <w:lvl w:ilvl="2" w:tplc="4EBC002E">
      <w:start w:val="1"/>
      <w:numFmt w:val="lowerLetter"/>
      <w:lvlText w:val="%3."/>
      <w:lvlJc w:val="left"/>
      <w:pPr>
        <w:ind w:left="2082" w:hanging="288"/>
        <w:jc w:val="left"/>
      </w:pPr>
      <w:rPr>
        <w:rFonts w:ascii="Times New Roman" w:eastAsia="Times New Roman" w:hAnsi="Times New Roman" w:cs="Times New Roman" w:hint="default"/>
        <w:spacing w:val="-28"/>
        <w:w w:val="99"/>
        <w:sz w:val="24"/>
        <w:szCs w:val="24"/>
        <w:lang w:val="en-GB" w:eastAsia="en-GB" w:bidi="en-GB"/>
      </w:rPr>
    </w:lvl>
    <w:lvl w:ilvl="3" w:tplc="34B8BD0E">
      <w:numFmt w:val="bullet"/>
      <w:lvlText w:val="•"/>
      <w:lvlJc w:val="left"/>
      <w:pPr>
        <w:ind w:left="2883" w:hanging="288"/>
      </w:pPr>
      <w:rPr>
        <w:rFonts w:hint="default"/>
        <w:lang w:val="en-GB" w:eastAsia="en-GB" w:bidi="en-GB"/>
      </w:rPr>
    </w:lvl>
    <w:lvl w:ilvl="4" w:tplc="72EC5FDE">
      <w:numFmt w:val="bullet"/>
      <w:lvlText w:val="•"/>
      <w:lvlJc w:val="left"/>
      <w:pPr>
        <w:ind w:left="3685" w:hanging="288"/>
      </w:pPr>
      <w:rPr>
        <w:rFonts w:hint="default"/>
        <w:lang w:val="en-GB" w:eastAsia="en-GB" w:bidi="en-GB"/>
      </w:rPr>
    </w:lvl>
    <w:lvl w:ilvl="5" w:tplc="2354A84E">
      <w:numFmt w:val="bullet"/>
      <w:lvlText w:val="•"/>
      <w:lvlJc w:val="left"/>
      <w:pPr>
        <w:ind w:left="4488" w:hanging="288"/>
      </w:pPr>
      <w:rPr>
        <w:rFonts w:hint="default"/>
        <w:lang w:val="en-GB" w:eastAsia="en-GB" w:bidi="en-GB"/>
      </w:rPr>
    </w:lvl>
    <w:lvl w:ilvl="6" w:tplc="3190EA2A">
      <w:numFmt w:val="bullet"/>
      <w:lvlText w:val="•"/>
      <w:lvlJc w:val="left"/>
      <w:pPr>
        <w:ind w:left="5291" w:hanging="288"/>
      </w:pPr>
      <w:rPr>
        <w:rFonts w:hint="default"/>
        <w:lang w:val="en-GB" w:eastAsia="en-GB" w:bidi="en-GB"/>
      </w:rPr>
    </w:lvl>
    <w:lvl w:ilvl="7" w:tplc="132A991C">
      <w:numFmt w:val="bullet"/>
      <w:lvlText w:val="•"/>
      <w:lvlJc w:val="left"/>
      <w:pPr>
        <w:ind w:left="6094" w:hanging="288"/>
      </w:pPr>
      <w:rPr>
        <w:rFonts w:hint="default"/>
        <w:lang w:val="en-GB" w:eastAsia="en-GB" w:bidi="en-GB"/>
      </w:rPr>
    </w:lvl>
    <w:lvl w:ilvl="8" w:tplc="368031C2">
      <w:numFmt w:val="bullet"/>
      <w:lvlText w:val="•"/>
      <w:lvlJc w:val="left"/>
      <w:pPr>
        <w:ind w:left="6897" w:hanging="288"/>
      </w:pPr>
      <w:rPr>
        <w:rFonts w:hint="default"/>
        <w:lang w:val="en-GB" w:eastAsia="en-GB" w:bidi="en-GB"/>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C7EAF"/>
    <w:rsid w:val="0013079A"/>
    <w:rsid w:val="00242D14"/>
    <w:rsid w:val="006B5AF3"/>
    <w:rsid w:val="009F4D93"/>
    <w:rsid w:val="00BC7EAF"/>
    <w:rsid w:val="00C80BF3"/>
    <w:rsid w:val="00C8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55C9"/>
  <w15:docId w15:val="{67246C81-4902-464D-AE1B-D3FE597B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spacing w:before="90"/>
      <w:ind w:left="124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2" w:hanging="9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2571</Words>
  <Characters>14659</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dcterms:created xsi:type="dcterms:W3CDTF">2020-07-22T10:10:00Z</dcterms:created>
  <dcterms:modified xsi:type="dcterms:W3CDTF">2020-07-22T10:34:00Z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Acrobat PDFMaker 11 for Word</vt:lpwstr>
  </property>
  <property fmtid="{D5CDD505-2E9C-101B-9397-08002B2CF9AE}" pid="4" name="LastSaved">
    <vt:filetime>2020-07-22T00:00:00Z</vt:filetime>
  </property>
</Properties>
</file>